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0702033D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3E3E6C">
        <w:rPr>
          <w:rFonts w:ascii="Garamond" w:hAnsi="Garamond"/>
          <w:sz w:val="20"/>
          <w:szCs w:val="20"/>
        </w:rPr>
        <w:t>09</w:t>
      </w:r>
      <w:r w:rsidRPr="00800960">
        <w:rPr>
          <w:rFonts w:ascii="Garamond" w:hAnsi="Garamond"/>
          <w:sz w:val="20"/>
          <w:szCs w:val="20"/>
        </w:rPr>
        <w:t>.</w:t>
      </w:r>
      <w:r w:rsidR="00BC0F7A">
        <w:rPr>
          <w:rFonts w:ascii="Garamond" w:hAnsi="Garamond"/>
          <w:sz w:val="20"/>
          <w:szCs w:val="20"/>
        </w:rPr>
        <w:t>0</w:t>
      </w:r>
      <w:r w:rsidR="003E3E6C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A50A640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607AC451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E3E6C">
        <w:rPr>
          <w:rFonts w:ascii="Garamond" w:hAnsi="Garamond"/>
          <w:b/>
          <w:sz w:val="20"/>
          <w:szCs w:val="20"/>
        </w:rPr>
        <w:t>86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57EC0796" w14:textId="2153F407" w:rsidR="003B2045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E3E6C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3E3E6C">
        <w:rPr>
          <w:rFonts w:ascii="Garamond" w:hAnsi="Garamond"/>
          <w:b/>
          <w:bCs/>
          <w:sz w:val="20"/>
          <w:szCs w:val="20"/>
        </w:rPr>
        <w:t>LEKÓW DLA CHEMIOTERAPII</w:t>
      </w:r>
      <w:r w:rsidR="003E3E6C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72FA053" w14:textId="77777777" w:rsidR="008B7CE9" w:rsidRPr="003408CB" w:rsidRDefault="008B7CE9" w:rsidP="00800960">
      <w:pPr>
        <w:jc w:val="both"/>
        <w:rPr>
          <w:rFonts w:ascii="Garamond" w:hAnsi="Garamond"/>
          <w:sz w:val="20"/>
          <w:szCs w:val="20"/>
        </w:rPr>
      </w:pPr>
    </w:p>
    <w:p w14:paraId="53C58D1C" w14:textId="77777777" w:rsidR="00083F7B" w:rsidRDefault="00800960" w:rsidP="003E3E6C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4049C09C" w14:textId="33A81F4D" w:rsidR="003E3E6C" w:rsidRPr="003E3E6C" w:rsidRDefault="003408CB" w:rsidP="009C732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0"/>
      <w:r w:rsidR="003E3E6C" w:rsidRPr="003E3E6C">
        <w:rPr>
          <w:rFonts w:ascii="Garamond" w:hAnsi="Garamond"/>
          <w:sz w:val="20"/>
          <w:szCs w:val="20"/>
        </w:rPr>
        <w:t>Do §2 ust. 7 wzoru umowy: Prosimy o modyfikację treści §2 ust. 7 poprzez skonkretyzowanie granicznych wartości dla poszczególnych pozycji asortymentowych, jakie Zamawiający zamierza zrealizować, np. poprzez podanie, że zmiany ilości poszczególnych produktów określonych w formularzu asortymentowo – cenowym mogą ulec zmniejszeniu lub zwiększeniu w granicach +/- 20%, przy czym przez takie sformułowanie Zamawiający będzie rozumiał możliwość zamówienia o 20% mniejszych lub o 20% większych ilości, każdego z zamówionych asortymentów. Zastrzeżenie bowiem „Ilości poszczególnych rodzajów towaru w opisie przedmiotu zamówienia mają charakter szacunkowy i orientacyjny. Kupujący zastrzega sobie możliwość zmiany przyjętych w umowie ilości, stosownie do swoich potrzeb.” w praktyce oznaczać może, że jedne z wycenianych pozycji mogą nie ulec zwiększeniu wcale, natomiast inne o niczym nieograniczoną ilość. Aktualna treść §2 ust. 5 wzoru umowy jest na tyle ogólna i nieprecyzyjna, że na jej podstawie wykonawcy nie są w stanie określić faktycznej wielkości przedmiotu zamówienia w zakresie jego poszczególnych pozycji asortymentowych, a tym samym nie są w stanie dokonać prawidłowej kalkulacji cen na potrzeby składanej oferty.</w:t>
      </w:r>
      <w:r w:rsidR="003E3E6C" w:rsidRPr="003E3E6C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331B1B3F" w14:textId="7CC4E552" w:rsidR="008B7CE9" w:rsidRDefault="007C771C" w:rsidP="003E3E6C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545EB">
        <w:rPr>
          <w:rFonts w:ascii="Garamond" w:hAnsi="Garamond" w:cstheme="minorHAnsi"/>
          <w:b/>
          <w:bCs/>
          <w:sz w:val="20"/>
          <w:szCs w:val="20"/>
        </w:rPr>
        <w:t>Nie</w:t>
      </w:r>
      <w:r w:rsidR="00DC404A">
        <w:rPr>
          <w:rFonts w:ascii="Garamond" w:hAnsi="Garamond" w:cstheme="minorHAnsi"/>
          <w:b/>
          <w:bCs/>
          <w:sz w:val="20"/>
          <w:szCs w:val="20"/>
        </w:rPr>
        <w:t>, Zamawiający odmawia.</w:t>
      </w:r>
    </w:p>
    <w:p w14:paraId="2DED65F4" w14:textId="77777777" w:rsidR="003E3E6C" w:rsidRPr="001347D4" w:rsidRDefault="003E3E6C" w:rsidP="003E3E6C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3DDF1EA9" w14:textId="77777777" w:rsidR="00083F7B" w:rsidRDefault="00C47D15" w:rsidP="00083F7B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1" w:name="_Hlk179369212"/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  <w:bookmarkEnd w:id="1"/>
    </w:p>
    <w:p w14:paraId="3AF72EA0" w14:textId="01734307" w:rsidR="003E3E6C" w:rsidRPr="00083F7B" w:rsidRDefault="003408CB" w:rsidP="00083F7B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Start w:id="2" w:name="_Hlk179369162"/>
      <w:r w:rsidR="003E3E6C" w:rsidRPr="00083F7B">
        <w:rPr>
          <w:rFonts w:ascii="Garamond" w:hAnsi="Garamond"/>
          <w:sz w:val="20"/>
          <w:szCs w:val="20"/>
        </w:rPr>
        <w:t>Do §5 ust. 1 wzoru umowy: Prosimy o dopisanie do §5 ust. 1 projektu umowy następującej treści: "Dostawy produktów z krótszym terminem ważności mogą być dopuszczone w wyjątkowych sytuacjach i każdorazowo zgodę na nie musi wyrazić upoważniony przedstawiciel Zamawiającego.".</w:t>
      </w:r>
      <w:r w:rsidR="003E3E6C" w:rsidRPr="00083F7B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4D0435B0" w14:textId="42347EA8" w:rsidR="00083F7B" w:rsidRDefault="00C47D15" w:rsidP="003E3E6C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083F7B" w:rsidRPr="00760A9D">
        <w:rPr>
          <w:rFonts w:ascii="Garamond" w:hAnsi="Garamond" w:cstheme="minorHAnsi"/>
          <w:b/>
          <w:bCs/>
          <w:sz w:val="20"/>
          <w:szCs w:val="20"/>
        </w:rPr>
        <w:t>Zamawiający wyraża zgod</w:t>
      </w:r>
      <w:r w:rsidR="00083F7B">
        <w:rPr>
          <w:rFonts w:ascii="Garamond" w:hAnsi="Garamond" w:cstheme="minorHAnsi"/>
          <w:b/>
          <w:bCs/>
          <w:sz w:val="20"/>
          <w:szCs w:val="20"/>
        </w:rPr>
        <w:t>ę</w:t>
      </w:r>
      <w:r w:rsidR="00083F7B" w:rsidRPr="00760A9D">
        <w:rPr>
          <w:rFonts w:ascii="Garamond" w:hAnsi="Garamond" w:cstheme="minorHAnsi"/>
          <w:b/>
          <w:bCs/>
          <w:sz w:val="20"/>
          <w:szCs w:val="20"/>
        </w:rPr>
        <w:t>.</w:t>
      </w:r>
      <w:r w:rsidR="00083F7B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p w14:paraId="40184A2D" w14:textId="77777777" w:rsidR="00083F7B" w:rsidRDefault="00083F7B" w:rsidP="003E3E6C">
      <w:pPr>
        <w:spacing w:after="200" w:line="276" w:lineRule="auto"/>
        <w:jc w:val="both"/>
        <w:rPr>
          <w:rFonts w:ascii="Garamond" w:hAnsi="Garamond"/>
          <w:sz w:val="20"/>
          <w:szCs w:val="20"/>
        </w:rPr>
      </w:pPr>
    </w:p>
    <w:p w14:paraId="2007348F" w14:textId="724A8E68" w:rsidR="001121BB" w:rsidRPr="001121BB" w:rsidRDefault="001121BB" w:rsidP="001121BB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716298D9" w14:textId="77777777" w:rsidR="003E3E6C" w:rsidRPr="003E3E6C" w:rsidRDefault="003E3E6C" w:rsidP="009C732B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E3E6C">
        <w:rPr>
          <w:rFonts w:ascii="Garamond" w:hAnsi="Garamond"/>
          <w:sz w:val="20"/>
          <w:szCs w:val="20"/>
        </w:rPr>
        <w:t>Do §9 ust. 2 wzoru umowy: Prosimy o usunięcie §9 ust. 2 wzoru umowy. Przedłużenia okresu obowiązywania umowy stanowi istotną zmianę treści umowy, a co za tym idzie nie może być zależne jedynie od jednostronnej czynności prawnej dokonanej przez Zamawiającego, tym bardziej, że w myśl art. 139 ust. 2 PZP umowa w sprawie zamówienia publicznego, a zatem również wszelkie jej zmiany, wymaga, pod rygorem nieważności, zachowania formy pisemnej.</w:t>
      </w:r>
      <w:r w:rsidRPr="003E3E6C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7F040F5A" w14:textId="77777777" w:rsidR="00AF40D7" w:rsidRDefault="001121BB" w:rsidP="00D545EB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C404A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141B91">
        <w:rPr>
          <w:rFonts w:ascii="Garamond" w:hAnsi="Garamond" w:cstheme="minorHAnsi"/>
          <w:b/>
          <w:bCs/>
          <w:sz w:val="20"/>
          <w:szCs w:val="20"/>
        </w:rPr>
        <w:t>NIE dopuszcza. Postępowanie prowadzone jest z wyłączeniem ustawy PZP.</w:t>
      </w:r>
      <w:bookmarkStart w:id="3" w:name="_Hlk188275816"/>
    </w:p>
    <w:p w14:paraId="3D3412CD" w14:textId="73D64AE4" w:rsidR="008B7CE9" w:rsidRPr="00AF40D7" w:rsidRDefault="009E0662" w:rsidP="00D545EB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lastRenderedPageBreak/>
        <w:t xml:space="preserve">Pytanie </w:t>
      </w:r>
      <w:r w:rsidR="001121BB">
        <w:rPr>
          <w:rFonts w:ascii="Garamond" w:hAnsi="Garamond"/>
          <w:b/>
          <w:sz w:val="20"/>
          <w:szCs w:val="20"/>
          <w:u w:val="single"/>
        </w:rPr>
        <w:t>4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bookmarkEnd w:id="2"/>
    </w:p>
    <w:bookmarkEnd w:id="3"/>
    <w:p w14:paraId="005C69AC" w14:textId="77777777" w:rsidR="003E3E6C" w:rsidRPr="003E3E6C" w:rsidRDefault="003E3E6C" w:rsidP="00FC17E1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E3E6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Do §7 ust. 5 lit. a) wzoru umowy: Czy Zamawiający wyrazi zgodę na zmianę §7 ust. 5 lit. a) Umowy o treści: „na koszt i ryzyko Sprzedającego” na zdanie następujące: „Różnicą w cenie zakupu interwencyjnego partii asortymentu, którego dotyczy zwłoka, Kupujący obciąży Sprzedawcę” Wykonawca wyjaśnia, że wyżej wskazane postanowienie pozostaje niezgodne z przepisami prawa, z utrwaloną doktryną i judykaturą. Zamawiający zastrzega sobie bowiem prawo do obciążenia Sprzedawcy pełnymi kosztami zakupu interwencyjnego, co w konsekwencji prowadzi do wypaczenia jego ustawowego uprawnienia. Przepis art. 479 k.c. uprawnia wierzyciela, w razie zwłoki dłużnika do nabycia na jego rzecz rzeczy tego samego gatunku, jednak z zastrzeżeniem, że „wierzyciel może żądać zwrotu kosztów nabycia zastępczego od dłużnika, a zarazem nie jest uprawniony do zapłaty dłużnikowi swojego świadczenia, prowadziłby do niesłusznego wzbogacenia tego wierzyciela.” (Kodeks cywilny, Komentarz, J.M. Kondek, red. K. </w:t>
      </w:r>
      <w:proofErr w:type="spellStart"/>
      <w:r w:rsidRPr="003E3E6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Osajda</w:t>
      </w:r>
      <w:proofErr w:type="spellEnd"/>
      <w:r w:rsidRPr="003E3E6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2021 r.). Powyższe konsekwentnie potwierdza judykatura- Sąd Apelacyjny w wyroku z dnia 5 sierpnia 2016 r., sygn. akt: I </w:t>
      </w:r>
      <w:proofErr w:type="spellStart"/>
      <w:r w:rsidRPr="003E3E6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ACa</w:t>
      </w:r>
      <w:proofErr w:type="spellEnd"/>
      <w:r w:rsidRPr="003E3E6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322/16 wskazał, że: „Jeżeli nabycie rzeczy wynika z umowy wzajemnej, to po zrealizowaniu go przez wierzyciela, obowiązek dłużnika dotyczy kosztów nabycia, pomniejszonych o cenę, do której uregulowania zobowiązany byłby wierzyciel. Sąd Apelacyjny w Krakowie w kolejnym wyroku podsumował, że „Roszczenie o zapłatę kosztów, o jakich mowa w art. 479 KC, ma charakter odszkodowawczy. Odliczenie zaś od kosztów zakupu zastępczego ceny uzgodnionej między stronami stanowi uwzględnienie zasady </w:t>
      </w:r>
      <w:proofErr w:type="spellStart"/>
      <w:r w:rsidRPr="003E3E6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compensatio</w:t>
      </w:r>
      <w:proofErr w:type="spellEnd"/>
      <w:r w:rsidRPr="003E3E6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3E3E6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lucri</w:t>
      </w:r>
      <w:proofErr w:type="spellEnd"/>
      <w:r w:rsidRPr="003E3E6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cum damno, gdyż stanowi uwzględnienie tego, co wierzyciel zaoszczędził nie świadcząc stronie pozwanej.” (wyrok z dnia 19 lutego 2020 r., sygn. akt: I </w:t>
      </w:r>
      <w:proofErr w:type="spellStart"/>
      <w:r w:rsidRPr="003E3E6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AGa</w:t>
      </w:r>
      <w:proofErr w:type="spellEnd"/>
      <w:r w:rsidRPr="003E3E6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29/19). Mając na uwadze powyższe, w celu wyeliminowania ryzyka nieważności (z uwagi na wprowadzenie do umowy niezgodnego z przepisami prawa postanowienia), Wykonawca zwraca się z wnioskiem o zmianę ww. zapisu jak powyżej.</w:t>
      </w:r>
    </w:p>
    <w:p w14:paraId="4829D023" w14:textId="77777777" w:rsidR="003E3E6C" w:rsidRPr="00D04885" w:rsidRDefault="00141B91" w:rsidP="003E3E6C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3E3E6C">
        <w:rPr>
          <w:rFonts w:ascii="Garamond" w:hAnsi="Garamond" w:cstheme="minorHAnsi"/>
          <w:b/>
          <w:bCs/>
          <w:sz w:val="20"/>
          <w:szCs w:val="20"/>
        </w:rPr>
        <w:t xml:space="preserve">Zamawiający NIE wyraża zgody. </w:t>
      </w:r>
    </w:p>
    <w:p w14:paraId="4DE3D381" w14:textId="0722ABB4" w:rsidR="00141B91" w:rsidRPr="00141B91" w:rsidRDefault="00141B91" w:rsidP="003E3E6C">
      <w:pPr>
        <w:spacing w:before="100" w:beforeAutospacing="1" w:after="100" w:afterAutospacing="1" w:line="240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1"/>
  </w:num>
  <w:num w:numId="2" w16cid:durableId="1593933160">
    <w:abstractNumId w:val="0"/>
  </w:num>
  <w:num w:numId="3" w16cid:durableId="176095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83F7B"/>
    <w:rsid w:val="000F557D"/>
    <w:rsid w:val="00110A15"/>
    <w:rsid w:val="001121BB"/>
    <w:rsid w:val="001347D4"/>
    <w:rsid w:val="00141B91"/>
    <w:rsid w:val="00203FF3"/>
    <w:rsid w:val="003408CB"/>
    <w:rsid w:val="00371D7F"/>
    <w:rsid w:val="003B2045"/>
    <w:rsid w:val="003B4F0A"/>
    <w:rsid w:val="003E28D3"/>
    <w:rsid w:val="003E3E6C"/>
    <w:rsid w:val="00455D5A"/>
    <w:rsid w:val="00464E93"/>
    <w:rsid w:val="00477B7B"/>
    <w:rsid w:val="004B2AB3"/>
    <w:rsid w:val="004D5268"/>
    <w:rsid w:val="005017D9"/>
    <w:rsid w:val="005370F0"/>
    <w:rsid w:val="00537774"/>
    <w:rsid w:val="005650ED"/>
    <w:rsid w:val="005E3CD2"/>
    <w:rsid w:val="00790ED4"/>
    <w:rsid w:val="007C771C"/>
    <w:rsid w:val="007E4EC0"/>
    <w:rsid w:val="007E77A2"/>
    <w:rsid w:val="00800960"/>
    <w:rsid w:val="00875664"/>
    <w:rsid w:val="008B7CE9"/>
    <w:rsid w:val="008D4096"/>
    <w:rsid w:val="008D76BB"/>
    <w:rsid w:val="008E4828"/>
    <w:rsid w:val="009C732B"/>
    <w:rsid w:val="009E0662"/>
    <w:rsid w:val="00A172E0"/>
    <w:rsid w:val="00A23899"/>
    <w:rsid w:val="00A50AD7"/>
    <w:rsid w:val="00AA173F"/>
    <w:rsid w:val="00AF40D7"/>
    <w:rsid w:val="00B20EF4"/>
    <w:rsid w:val="00B532F0"/>
    <w:rsid w:val="00BC0F7A"/>
    <w:rsid w:val="00BF3A1E"/>
    <w:rsid w:val="00C47D15"/>
    <w:rsid w:val="00C57429"/>
    <w:rsid w:val="00D545EB"/>
    <w:rsid w:val="00D54EA2"/>
    <w:rsid w:val="00D80040"/>
    <w:rsid w:val="00DA5651"/>
    <w:rsid w:val="00DC404A"/>
    <w:rsid w:val="00DD4EE8"/>
    <w:rsid w:val="00E46472"/>
    <w:rsid w:val="00EE30C2"/>
    <w:rsid w:val="00F953B0"/>
    <w:rsid w:val="00FA5F61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21</cp:revision>
  <cp:lastPrinted>2025-04-09T12:32:00Z</cp:lastPrinted>
  <dcterms:created xsi:type="dcterms:W3CDTF">2024-09-17T06:10:00Z</dcterms:created>
  <dcterms:modified xsi:type="dcterms:W3CDTF">2025-04-09T12:33:00Z</dcterms:modified>
</cp:coreProperties>
</file>