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0E83242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43518">
        <w:rPr>
          <w:rFonts w:ascii="Garamond" w:hAnsi="Garamond"/>
          <w:sz w:val="20"/>
          <w:szCs w:val="20"/>
        </w:rPr>
        <w:t>26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B622F2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4139CF9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43518">
        <w:rPr>
          <w:rFonts w:ascii="Garamond" w:hAnsi="Garamond"/>
          <w:b/>
          <w:sz w:val="20"/>
          <w:szCs w:val="20"/>
        </w:rPr>
        <w:t>122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25B2D5D6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43518" w:rsidRPr="00143518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LEKÓW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EB903F0" w14:textId="77777777" w:rsidR="006B6DC5" w:rsidRDefault="006B6DC5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5409D211" w14:textId="367A8598" w:rsidR="00791D76" w:rsidRPr="00143518" w:rsidRDefault="00143518" w:rsidP="00143518">
      <w:pPr>
        <w:spacing w:line="276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143518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Czy Zamawiający w Pakiecie nr 2 wymaga preparatu zarejestrowanego we wtórnym niedoborze</w:t>
      </w:r>
      <w:r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143518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fibrynogenu, u pacjentów z ciężkim, niekontrolowanym krwotokiem w przebiegu interwencji</w:t>
      </w:r>
      <w:r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143518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chirurgicznej?</w:t>
      </w:r>
    </w:p>
    <w:p w14:paraId="0196C563" w14:textId="51FCA42E" w:rsidR="00B622F2" w:rsidRPr="0023607B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B622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DB7FA3">
        <w:rPr>
          <w:rFonts w:ascii="Garamond" w:hAnsi="Garamond" w:cstheme="minorHAnsi"/>
          <w:b/>
          <w:bCs/>
          <w:sz w:val="20"/>
          <w:szCs w:val="20"/>
        </w:rPr>
        <w:t>TAK, Zamawiający wymaga.</w:t>
      </w:r>
    </w:p>
    <w:bookmarkEnd w:id="4"/>
    <w:bookmarkEnd w:id="0"/>
    <w:bookmarkEnd w:id="1"/>
    <w:bookmarkEnd w:id="2"/>
    <w:bookmarkEnd w:id="3"/>
    <w:p w14:paraId="5000A238" w14:textId="77777777" w:rsidR="0023607B" w:rsidRDefault="0023607B" w:rsidP="00B622F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B7FA3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56</cp:revision>
  <cp:lastPrinted>2025-05-19T05:48:00Z</cp:lastPrinted>
  <dcterms:created xsi:type="dcterms:W3CDTF">2024-09-17T06:10:00Z</dcterms:created>
  <dcterms:modified xsi:type="dcterms:W3CDTF">2025-05-26T06:04:00Z</dcterms:modified>
</cp:coreProperties>
</file>