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49C5" w14:textId="554557B4" w:rsidR="00166025" w:rsidRPr="00184EB0" w:rsidRDefault="00166025" w:rsidP="00386F4D">
      <w:pPr>
        <w:suppressAutoHyphens/>
        <w:spacing w:after="0"/>
        <w:jc w:val="right"/>
        <w:rPr>
          <w:rFonts w:ascii="Garamond" w:eastAsia="Times New Roman" w:hAnsi="Garamond" w:cs="Arial"/>
          <w:b/>
          <w:bCs/>
          <w:sz w:val="20"/>
          <w:szCs w:val="20"/>
          <w:lang w:eastAsia="ar-SA"/>
        </w:rPr>
      </w:pPr>
      <w:r w:rsidRPr="00184EB0">
        <w:rPr>
          <w:rFonts w:ascii="Garamond" w:eastAsia="Times New Roman" w:hAnsi="Garamond" w:cs="Arial"/>
          <w:sz w:val="20"/>
          <w:szCs w:val="20"/>
          <w:lang w:eastAsia="ar-SA"/>
        </w:rPr>
        <w:t xml:space="preserve">Kraków, </w:t>
      </w:r>
      <w:r w:rsidR="0005009C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2</w:t>
      </w:r>
      <w:r w:rsidR="00E97545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2</w:t>
      </w:r>
      <w:r w:rsidRPr="00184EB0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.</w:t>
      </w:r>
      <w:r w:rsidR="00E1387A" w:rsidRPr="00184EB0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0</w:t>
      </w:r>
      <w:r w:rsidR="008217E6" w:rsidRPr="00184EB0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7</w:t>
      </w:r>
      <w:r w:rsidRPr="00184EB0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.202</w:t>
      </w:r>
      <w:r w:rsidR="00E1387A" w:rsidRPr="00184EB0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5</w:t>
      </w:r>
      <w:r w:rsidRPr="00184EB0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 roku</w:t>
      </w:r>
    </w:p>
    <w:p w14:paraId="21D9F44B" w14:textId="77777777" w:rsidR="00166025" w:rsidRPr="00184EB0" w:rsidRDefault="00166025" w:rsidP="00386F4D">
      <w:pPr>
        <w:suppressAutoHyphens/>
        <w:spacing w:after="0"/>
        <w:jc w:val="right"/>
        <w:rPr>
          <w:rFonts w:ascii="Garamond" w:eastAsia="Times New Roman" w:hAnsi="Garamond" w:cs="Arial"/>
          <w:sz w:val="20"/>
          <w:szCs w:val="20"/>
          <w:lang w:eastAsia="ar-SA"/>
        </w:rPr>
      </w:pPr>
      <w:r w:rsidRPr="00184EB0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DO WSZYSTKICH KOGO DOTYCZY</w:t>
      </w:r>
    </w:p>
    <w:p w14:paraId="417DA009" w14:textId="2C24C702" w:rsidR="00166025" w:rsidRPr="00184EB0" w:rsidRDefault="00166025" w:rsidP="00386F4D">
      <w:pPr>
        <w:suppressAutoHyphens/>
        <w:spacing w:after="0"/>
        <w:jc w:val="right"/>
        <w:rPr>
          <w:rFonts w:ascii="Garamond" w:eastAsia="Times New Roman" w:hAnsi="Garamond" w:cs="Arial"/>
          <w:sz w:val="20"/>
          <w:szCs w:val="20"/>
          <w:lang w:eastAsia="ar-SA"/>
        </w:rPr>
      </w:pPr>
      <w:r w:rsidRPr="00184EB0">
        <w:rPr>
          <w:rFonts w:ascii="Garamond" w:eastAsia="Times New Roman" w:hAnsi="Garamond" w:cs="Arial"/>
          <w:sz w:val="20"/>
          <w:szCs w:val="20"/>
          <w:lang w:eastAsia="ar-SA"/>
        </w:rPr>
        <w:t xml:space="preserve"> ODPOWIEDZI NA PYTANIA</w:t>
      </w:r>
    </w:p>
    <w:p w14:paraId="0B715B5B" w14:textId="77777777" w:rsidR="00166025" w:rsidRPr="00184EB0" w:rsidRDefault="00166025" w:rsidP="00386F4D">
      <w:pPr>
        <w:suppressAutoHyphens/>
        <w:spacing w:after="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184EB0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</w:p>
    <w:p w14:paraId="16CA5C9F" w14:textId="5ED10961" w:rsidR="00166025" w:rsidRPr="00184EB0" w:rsidRDefault="00166025" w:rsidP="00386F4D">
      <w:pPr>
        <w:suppressAutoHyphens/>
        <w:spacing w:after="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184EB0">
        <w:rPr>
          <w:rFonts w:ascii="Garamond" w:eastAsia="Times New Roman" w:hAnsi="Garamond" w:cs="Arial"/>
          <w:b/>
          <w:bCs/>
          <w:i/>
          <w:iCs/>
          <w:sz w:val="20"/>
          <w:szCs w:val="20"/>
          <w:lang w:eastAsia="ar-SA"/>
        </w:rPr>
        <w:t>dot. sprawy:</w:t>
      </w:r>
      <w:r w:rsidRPr="00184EB0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  </w:t>
      </w:r>
      <w:r w:rsidR="008217E6" w:rsidRPr="00184EB0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7</w:t>
      </w:r>
      <w:r w:rsidR="004773A4" w:rsidRPr="00184EB0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2</w:t>
      </w:r>
      <w:r w:rsidRPr="00184EB0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/ZP/202</w:t>
      </w:r>
      <w:r w:rsidR="00E1387A" w:rsidRPr="00184EB0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5</w:t>
      </w:r>
    </w:p>
    <w:p w14:paraId="6C4FF9D4" w14:textId="77777777" w:rsidR="00166025" w:rsidRPr="00184EB0" w:rsidRDefault="00166025" w:rsidP="00386F4D">
      <w:pPr>
        <w:suppressAutoHyphens/>
        <w:spacing w:after="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184EB0">
        <w:rPr>
          <w:rFonts w:ascii="Garamond" w:eastAsia="Times New Roman" w:hAnsi="Garamond" w:cs="Arial"/>
          <w:sz w:val="20"/>
          <w:szCs w:val="20"/>
          <w:lang w:eastAsia="ar-SA"/>
        </w:rPr>
        <w:t>Szanowni Państwo,</w:t>
      </w:r>
    </w:p>
    <w:p w14:paraId="53303173" w14:textId="77777777" w:rsidR="00166025" w:rsidRPr="00184EB0" w:rsidRDefault="00166025" w:rsidP="00386F4D">
      <w:pPr>
        <w:autoSpaceDE w:val="0"/>
        <w:autoSpaceDN w:val="0"/>
        <w:adjustRightInd w:val="0"/>
        <w:spacing w:after="0"/>
        <w:jc w:val="both"/>
        <w:rPr>
          <w:rFonts w:ascii="Garamond" w:eastAsiaTheme="minorHAnsi" w:hAnsi="Garamond" w:cs="Arial"/>
          <w:sz w:val="20"/>
          <w:szCs w:val="20"/>
        </w:rPr>
      </w:pPr>
    </w:p>
    <w:p w14:paraId="7AE5F74B" w14:textId="5837CD66" w:rsidR="00166025" w:rsidRPr="00184EB0" w:rsidRDefault="00166025" w:rsidP="00386F4D">
      <w:pPr>
        <w:autoSpaceDE w:val="0"/>
        <w:autoSpaceDN w:val="0"/>
        <w:adjustRightInd w:val="0"/>
        <w:spacing w:after="0"/>
        <w:jc w:val="both"/>
        <w:rPr>
          <w:rFonts w:ascii="Garamond" w:eastAsiaTheme="minorHAnsi" w:hAnsi="Garamond" w:cs="Arial"/>
          <w:sz w:val="20"/>
          <w:szCs w:val="20"/>
        </w:rPr>
      </w:pPr>
      <w:r w:rsidRPr="00184EB0">
        <w:rPr>
          <w:rFonts w:ascii="Garamond" w:eastAsiaTheme="minorHAnsi" w:hAnsi="Garamond" w:cs="Arial"/>
          <w:sz w:val="20"/>
          <w:szCs w:val="20"/>
        </w:rPr>
        <w:t>Uprzejmie informuję, że w sprawie ogłoszonego przez 5 Wojskowy Szpital Kliniczny z Polikliniką - Samodzielny Publiczny Zakład Opieki Zdrowotnej w Krakowie postępowania na</w:t>
      </w:r>
      <w:r w:rsidR="00E1387A" w:rsidRPr="00184EB0">
        <w:rPr>
          <w:rFonts w:ascii="Garamond" w:eastAsiaTheme="minorHAnsi" w:hAnsi="Garamond" w:cs="Arial"/>
          <w:sz w:val="20"/>
          <w:szCs w:val="20"/>
        </w:rPr>
        <w:t xml:space="preserve"> </w:t>
      </w:r>
      <w:r w:rsidR="008217E6" w:rsidRPr="00184EB0">
        <w:rPr>
          <w:rFonts w:ascii="Garamond" w:hAnsi="Garamond"/>
          <w:b/>
          <w:bCs/>
          <w:sz w:val="20"/>
          <w:szCs w:val="20"/>
        </w:rPr>
        <w:t>dostawę urządzeń serwerowych na potrzeby 5 WSZK w Krakowie na potrzeby 5 WSZK</w:t>
      </w:r>
      <w:r w:rsidR="00690EC6" w:rsidRPr="00184EB0">
        <w:rPr>
          <w:rFonts w:ascii="Garamond" w:eastAsiaTheme="minorHAnsi" w:hAnsi="Garamond" w:cs="Arial"/>
          <w:b/>
          <w:bCs/>
          <w:sz w:val="20"/>
          <w:szCs w:val="20"/>
        </w:rPr>
        <w:t xml:space="preserve">, </w:t>
      </w:r>
      <w:r w:rsidRPr="00184EB0">
        <w:rPr>
          <w:rFonts w:ascii="Garamond" w:eastAsiaTheme="minorHAnsi" w:hAnsi="Garamond" w:cs="Arial"/>
          <w:sz w:val="20"/>
          <w:szCs w:val="20"/>
        </w:rPr>
        <w:t>wpłynęły pytania. Treść pytań wraz z odpowiedziami na nie przedstawiam poniżej</w:t>
      </w:r>
      <w:r w:rsidR="00FB4D21" w:rsidRPr="00184EB0">
        <w:rPr>
          <w:rFonts w:ascii="Garamond" w:eastAsiaTheme="minorHAnsi" w:hAnsi="Garamond" w:cs="Arial"/>
          <w:sz w:val="20"/>
          <w:szCs w:val="20"/>
        </w:rPr>
        <w:t xml:space="preserve"> </w:t>
      </w:r>
      <w:r w:rsidRPr="00184EB0">
        <w:rPr>
          <w:rFonts w:ascii="Garamond" w:eastAsiaTheme="minorHAnsi" w:hAnsi="Garamond" w:cs="Arial"/>
          <w:sz w:val="20"/>
          <w:szCs w:val="20"/>
        </w:rPr>
        <w:t>:</w:t>
      </w:r>
    </w:p>
    <w:p w14:paraId="5CB1B803" w14:textId="77777777" w:rsidR="00166025" w:rsidRPr="00184EB0" w:rsidRDefault="00166025" w:rsidP="00386F4D">
      <w:pPr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593DE81C" w14:textId="77777777" w:rsidR="008A2BDC" w:rsidRPr="00184EB0" w:rsidRDefault="004773A4" w:rsidP="008A2BDC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184EB0">
        <w:rPr>
          <w:rFonts w:ascii="Garamond" w:hAnsi="Garamond"/>
          <w:b/>
          <w:bCs/>
          <w:sz w:val="20"/>
          <w:szCs w:val="20"/>
        </w:rPr>
        <w:t>Pytanie nr 1</w:t>
      </w:r>
    </w:p>
    <w:p w14:paraId="21F297F5" w14:textId="77777777" w:rsidR="008A2BDC" w:rsidRPr="00184EB0" w:rsidRDefault="008A2BDC" w:rsidP="008A2BDC">
      <w:pPr>
        <w:tabs>
          <w:tab w:val="left" w:pos="2610"/>
        </w:tabs>
        <w:rPr>
          <w:rFonts w:ascii="Garamond" w:hAnsi="Garamond"/>
          <w:sz w:val="20"/>
          <w:szCs w:val="20"/>
        </w:rPr>
      </w:pPr>
      <w:r w:rsidRPr="00184EB0">
        <w:rPr>
          <w:rFonts w:ascii="Garamond" w:hAnsi="Garamond"/>
          <w:sz w:val="20"/>
          <w:szCs w:val="20"/>
        </w:rPr>
        <w:t xml:space="preserve">W pakiecie III jako referencyjna została wskazana macierz Dell </w:t>
      </w:r>
      <w:proofErr w:type="spellStart"/>
      <w:r w:rsidRPr="00184EB0">
        <w:rPr>
          <w:rFonts w:ascii="Garamond" w:hAnsi="Garamond"/>
          <w:sz w:val="20"/>
          <w:szCs w:val="20"/>
        </w:rPr>
        <w:t>PowerStore</w:t>
      </w:r>
      <w:proofErr w:type="spellEnd"/>
      <w:r w:rsidRPr="00184EB0">
        <w:rPr>
          <w:rFonts w:ascii="Garamond" w:hAnsi="Garamond"/>
          <w:sz w:val="20"/>
          <w:szCs w:val="20"/>
        </w:rPr>
        <w:t xml:space="preserve"> 500T, jednak nie spełnia ona wszystkich wymagań określonych w dalszej części specyfikacji. W związku z tym wnosimy o modyfikację podanych niżej zapisów: Procesory: W opisie wskazano dwa procesory Intel Xeon, każdy z minimum 24 rdzeniami. Tymczasem producent w oficjalnej specyfikacji technicznej podaje, że macierz na urządzenie posiada 2 procesory i łącznie 24 rdzenie taktowane 2,2 GHz. W związku z tym wnosimy o zmianę zapisu na: „2 x Intel Xeon, min. 12 rdzeni każdy, taktowanie min. 2,2 GHz” – co odpowiada rzeczywistej specyfikacji urządzenia Dell </w:t>
      </w:r>
      <w:proofErr w:type="spellStart"/>
      <w:r w:rsidRPr="00184EB0">
        <w:rPr>
          <w:rFonts w:ascii="Garamond" w:hAnsi="Garamond"/>
          <w:sz w:val="20"/>
          <w:szCs w:val="20"/>
        </w:rPr>
        <w:t>PowerStore</w:t>
      </w:r>
      <w:proofErr w:type="spellEnd"/>
      <w:r w:rsidRPr="00184EB0">
        <w:rPr>
          <w:rFonts w:ascii="Garamond" w:hAnsi="Garamond"/>
          <w:sz w:val="20"/>
          <w:szCs w:val="20"/>
        </w:rPr>
        <w:t xml:space="preserve"> 500T. Efektywna pojemność: Zamawiający określił minimalną efektywną pojemność na poziomie 1 PB. Należy zaznaczyć, że taka wartość jest możliwa do osiągnięcia przez model </w:t>
      </w:r>
      <w:proofErr w:type="spellStart"/>
      <w:r w:rsidRPr="00184EB0">
        <w:rPr>
          <w:rFonts w:ascii="Garamond" w:hAnsi="Garamond"/>
          <w:sz w:val="20"/>
          <w:szCs w:val="20"/>
        </w:rPr>
        <w:t>PowerStore</w:t>
      </w:r>
      <w:proofErr w:type="spellEnd"/>
      <w:r w:rsidRPr="00184EB0">
        <w:rPr>
          <w:rFonts w:ascii="Garamond" w:hAnsi="Garamond"/>
          <w:sz w:val="20"/>
          <w:szCs w:val="20"/>
        </w:rPr>
        <w:t xml:space="preserve"> 500T, ale przy zastosowaniu znacznie bardziej rozbudowanej konfiguracji dysków niż ta wskazana w dokumentacji przetargowej. Obecny zapis może wprowadzać w błąd, dlatego rekomendujemy doprecyzowanie, że 1 PB to wartość maksymalna dla tego modelu macierzy, a nie dla konfiguracje specyfikowanej w niniejszym postępowaniu. </w:t>
      </w:r>
    </w:p>
    <w:p w14:paraId="24141AD2" w14:textId="03F6E852" w:rsidR="008A2BDC" w:rsidRPr="00184EB0" w:rsidRDefault="008A2BDC" w:rsidP="008A2BDC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184EB0">
        <w:rPr>
          <w:rFonts w:ascii="Garamond" w:hAnsi="Garamond"/>
          <w:b/>
          <w:bCs/>
          <w:sz w:val="20"/>
          <w:szCs w:val="20"/>
        </w:rPr>
        <w:t xml:space="preserve">Odpowiedź : </w:t>
      </w:r>
      <w:r w:rsidR="00482375" w:rsidRPr="00482375">
        <w:rPr>
          <w:rFonts w:ascii="Garamond" w:hAnsi="Garamond"/>
          <w:b/>
          <w:bCs/>
          <w:sz w:val="20"/>
          <w:szCs w:val="20"/>
        </w:rPr>
        <w:t>Zamawiający rezygnuje z zapisu „2 x Intel Xeon, min. 24 rdzeni</w:t>
      </w:r>
      <w:r w:rsidR="00482375">
        <w:rPr>
          <w:rFonts w:ascii="Garamond" w:hAnsi="Garamond"/>
          <w:b/>
          <w:bCs/>
          <w:sz w:val="20"/>
          <w:szCs w:val="20"/>
        </w:rPr>
        <w:t>e</w:t>
      </w:r>
      <w:r w:rsidR="00482375" w:rsidRPr="00482375">
        <w:rPr>
          <w:rFonts w:ascii="Garamond" w:hAnsi="Garamond"/>
          <w:b/>
          <w:bCs/>
          <w:sz w:val="20"/>
          <w:szCs w:val="20"/>
        </w:rPr>
        <w:t xml:space="preserve"> każdy, taktowanie min. 2,2 GHz”. Wymaga „2 x Intel Xeon, min. 12 rdzeni każdy, taktowanie min. 2,2 GHz”</w:t>
      </w:r>
    </w:p>
    <w:p w14:paraId="40291EA9" w14:textId="3F643E3B" w:rsidR="008A2BDC" w:rsidRPr="0005009C" w:rsidRDefault="008A2BDC" w:rsidP="008A2BDC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05009C">
        <w:rPr>
          <w:rFonts w:ascii="Garamond" w:hAnsi="Garamond"/>
          <w:b/>
          <w:bCs/>
          <w:sz w:val="20"/>
          <w:szCs w:val="20"/>
        </w:rPr>
        <w:t>Pytanie 2</w:t>
      </w:r>
    </w:p>
    <w:p w14:paraId="20433FE3" w14:textId="72BC62D9" w:rsidR="004773A4" w:rsidRPr="0005009C" w:rsidRDefault="008A2BDC" w:rsidP="008A2BDC">
      <w:pPr>
        <w:tabs>
          <w:tab w:val="left" w:pos="2610"/>
        </w:tabs>
        <w:rPr>
          <w:rFonts w:ascii="Garamond" w:hAnsi="Garamond"/>
          <w:sz w:val="20"/>
          <w:szCs w:val="20"/>
        </w:rPr>
      </w:pPr>
      <w:r w:rsidRPr="0005009C">
        <w:rPr>
          <w:rFonts w:ascii="Garamond" w:hAnsi="Garamond"/>
          <w:sz w:val="20"/>
          <w:szCs w:val="20"/>
        </w:rPr>
        <w:t xml:space="preserve">W nawiązaniu do odpowiedzi na pytanie nr 3 - wyjaśnienia do SWZ z dnia 14.07.2025, prosimy o potwierdzenie, że wskazane warunki równoważności odnoszą się wyłącznie do sytuacji, w której oferowana zostanie macierz inna niż Dell </w:t>
      </w:r>
      <w:proofErr w:type="spellStart"/>
      <w:r w:rsidRPr="0005009C">
        <w:rPr>
          <w:rFonts w:ascii="Garamond" w:hAnsi="Garamond"/>
          <w:sz w:val="20"/>
          <w:szCs w:val="20"/>
        </w:rPr>
        <w:t>PowerStore</w:t>
      </w:r>
      <w:proofErr w:type="spellEnd"/>
      <w:r w:rsidRPr="0005009C">
        <w:rPr>
          <w:rFonts w:ascii="Garamond" w:hAnsi="Garamond"/>
          <w:sz w:val="20"/>
          <w:szCs w:val="20"/>
        </w:rPr>
        <w:t xml:space="preserve"> 500T. Wykonawcy zależy na jednoznacznym potwierdzeniu, że w przypadku zaoferowania modelu referencyjnego DELL </w:t>
      </w:r>
      <w:proofErr w:type="spellStart"/>
      <w:r w:rsidRPr="0005009C">
        <w:rPr>
          <w:rFonts w:ascii="Garamond" w:hAnsi="Garamond"/>
          <w:sz w:val="20"/>
          <w:szCs w:val="20"/>
        </w:rPr>
        <w:t>PowerStore</w:t>
      </w:r>
      <w:proofErr w:type="spellEnd"/>
      <w:r w:rsidRPr="0005009C">
        <w:rPr>
          <w:rFonts w:ascii="Garamond" w:hAnsi="Garamond"/>
          <w:sz w:val="20"/>
          <w:szCs w:val="20"/>
        </w:rPr>
        <w:t xml:space="preserve"> 500T, obowiązujące są wymagania określone w załączniku nr 1 do SWZ - specyfikacji technicznej macierzy dyskowej.</w:t>
      </w:r>
    </w:p>
    <w:p w14:paraId="474A7243" w14:textId="78243E1E" w:rsidR="008A2BDC" w:rsidRPr="0005009C" w:rsidRDefault="008A2BDC" w:rsidP="008A2BDC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05009C">
        <w:rPr>
          <w:rFonts w:ascii="Garamond" w:hAnsi="Garamond"/>
          <w:b/>
          <w:bCs/>
          <w:sz w:val="20"/>
          <w:szCs w:val="20"/>
        </w:rPr>
        <w:t xml:space="preserve">Odpowiedź : </w:t>
      </w:r>
      <w:r w:rsidR="0005009C" w:rsidRPr="0005009C">
        <w:rPr>
          <w:rFonts w:ascii="Garamond" w:hAnsi="Garamond"/>
          <w:b/>
          <w:bCs/>
          <w:sz w:val="20"/>
          <w:szCs w:val="20"/>
        </w:rPr>
        <w:t>tak</w:t>
      </w:r>
    </w:p>
    <w:p w14:paraId="2CD3C0B3" w14:textId="52946B97" w:rsidR="008A2BDC" w:rsidRPr="00184EB0" w:rsidRDefault="008A2BDC" w:rsidP="008A2BDC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184EB0">
        <w:rPr>
          <w:rFonts w:ascii="Garamond" w:hAnsi="Garamond"/>
          <w:b/>
          <w:bCs/>
          <w:sz w:val="20"/>
          <w:szCs w:val="20"/>
        </w:rPr>
        <w:t xml:space="preserve">Pytanie 3 </w:t>
      </w:r>
    </w:p>
    <w:p w14:paraId="43034F0B" w14:textId="1715726F" w:rsidR="008A2BDC" w:rsidRPr="00184EB0" w:rsidRDefault="008A2BDC" w:rsidP="008A2BDC">
      <w:pPr>
        <w:tabs>
          <w:tab w:val="left" w:pos="2610"/>
        </w:tabs>
        <w:rPr>
          <w:rFonts w:ascii="Garamond" w:hAnsi="Garamond"/>
          <w:sz w:val="20"/>
          <w:szCs w:val="20"/>
        </w:rPr>
      </w:pPr>
      <w:r w:rsidRPr="00184EB0">
        <w:rPr>
          <w:rFonts w:ascii="Garamond" w:hAnsi="Garamond"/>
          <w:sz w:val="20"/>
          <w:szCs w:val="20"/>
        </w:rPr>
        <w:t xml:space="preserve">Dotyczy pakietu III - macierz dyskowa Zamawiający specyfikuje model referencyjny macierzy - Dell </w:t>
      </w:r>
      <w:proofErr w:type="spellStart"/>
      <w:r w:rsidRPr="00184EB0">
        <w:rPr>
          <w:rFonts w:ascii="Garamond" w:hAnsi="Garamond"/>
          <w:sz w:val="20"/>
          <w:szCs w:val="20"/>
        </w:rPr>
        <w:t>PowerStore</w:t>
      </w:r>
      <w:proofErr w:type="spellEnd"/>
      <w:r w:rsidRPr="00184EB0">
        <w:rPr>
          <w:rFonts w:ascii="Garamond" w:hAnsi="Garamond"/>
          <w:sz w:val="20"/>
          <w:szCs w:val="20"/>
        </w:rPr>
        <w:t xml:space="preserve"> 500T - wyposażonej w 6 dysków o pojemności 4,8TB każdy. Firma Dell w macierzach dyskowych </w:t>
      </w:r>
      <w:proofErr w:type="spellStart"/>
      <w:r w:rsidRPr="00184EB0">
        <w:rPr>
          <w:rFonts w:ascii="Garamond" w:hAnsi="Garamond"/>
          <w:sz w:val="20"/>
          <w:szCs w:val="20"/>
        </w:rPr>
        <w:t>PowerStore</w:t>
      </w:r>
      <w:proofErr w:type="spellEnd"/>
      <w:r w:rsidRPr="00184EB0">
        <w:rPr>
          <w:rFonts w:ascii="Garamond" w:hAnsi="Garamond"/>
          <w:sz w:val="20"/>
          <w:szCs w:val="20"/>
        </w:rPr>
        <w:t xml:space="preserve"> stosuje standardowe rynkowe pojemności dysków </w:t>
      </w:r>
      <w:proofErr w:type="spellStart"/>
      <w:r w:rsidRPr="00184EB0">
        <w:rPr>
          <w:rFonts w:ascii="Garamond" w:hAnsi="Garamond"/>
          <w:sz w:val="20"/>
          <w:szCs w:val="20"/>
        </w:rPr>
        <w:t>NVMe</w:t>
      </w:r>
      <w:proofErr w:type="spellEnd"/>
      <w:r w:rsidRPr="00184EB0">
        <w:rPr>
          <w:rFonts w:ascii="Garamond" w:hAnsi="Garamond"/>
          <w:sz w:val="20"/>
          <w:szCs w:val="20"/>
        </w:rPr>
        <w:t xml:space="preserve">, tj. 1.92 TB, 3.84 TB, 7.68 TB oraz 15.36 TB. Podobne podejście wykazują inni czołowi producenci jak HPE, </w:t>
      </w:r>
      <w:proofErr w:type="spellStart"/>
      <w:r w:rsidRPr="00184EB0">
        <w:rPr>
          <w:rFonts w:ascii="Garamond" w:hAnsi="Garamond"/>
          <w:sz w:val="20"/>
          <w:szCs w:val="20"/>
        </w:rPr>
        <w:t>NetApp</w:t>
      </w:r>
      <w:proofErr w:type="spellEnd"/>
      <w:r w:rsidRPr="00184EB0">
        <w:rPr>
          <w:rFonts w:ascii="Garamond" w:hAnsi="Garamond"/>
          <w:sz w:val="20"/>
          <w:szCs w:val="20"/>
        </w:rPr>
        <w:t xml:space="preserve"> czy Lenovo. Zwracamy się w związku z tym z prośbą o weryfikację powyższego zapisu pod kątem wystąpienia omyłki pisarskiej w pojemności dysku, tj. potwierdzenie, czy Zamawiający miał na myśli 6 dysków o pojemności min. 3.8TB każdy. Pozostawienie zapisu w obecnej formie wyraźnie faworyzuje jednego producenta - firmę IBM, która w swojej ofercie posiada autorskie nośniki FCM o pojemności 4.8TB.</w:t>
      </w:r>
    </w:p>
    <w:p w14:paraId="5B48BF7C" w14:textId="77777777" w:rsidR="00482375" w:rsidRPr="00184EB0" w:rsidRDefault="008A2BDC" w:rsidP="00482375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184EB0">
        <w:rPr>
          <w:rFonts w:ascii="Garamond" w:hAnsi="Garamond"/>
          <w:b/>
          <w:bCs/>
          <w:sz w:val="20"/>
          <w:szCs w:val="20"/>
        </w:rPr>
        <w:t xml:space="preserve">Odpowiedź : </w:t>
      </w:r>
      <w:r w:rsidR="00482375" w:rsidRPr="00482375">
        <w:rPr>
          <w:rFonts w:ascii="Garamond" w:hAnsi="Garamond"/>
          <w:b/>
          <w:bCs/>
          <w:sz w:val="20"/>
          <w:szCs w:val="20"/>
        </w:rPr>
        <w:t xml:space="preserve">Zamawiający rezygnuje z zapisu min, 6 x 4,8 TB </w:t>
      </w:r>
      <w:proofErr w:type="spellStart"/>
      <w:r w:rsidR="00482375" w:rsidRPr="00482375">
        <w:rPr>
          <w:rFonts w:ascii="Garamond" w:hAnsi="Garamond"/>
          <w:b/>
          <w:bCs/>
          <w:sz w:val="20"/>
          <w:szCs w:val="20"/>
        </w:rPr>
        <w:t>NVMe</w:t>
      </w:r>
      <w:proofErr w:type="spellEnd"/>
      <w:r w:rsidR="00482375" w:rsidRPr="00482375">
        <w:rPr>
          <w:rFonts w:ascii="Garamond" w:hAnsi="Garamond"/>
          <w:b/>
          <w:bCs/>
          <w:sz w:val="20"/>
          <w:szCs w:val="20"/>
        </w:rPr>
        <w:t xml:space="preserve"> SSD. Wymaga min. 6 x 3,84 TB </w:t>
      </w:r>
      <w:proofErr w:type="spellStart"/>
      <w:r w:rsidR="00482375" w:rsidRPr="00482375">
        <w:rPr>
          <w:rFonts w:ascii="Garamond" w:hAnsi="Garamond"/>
          <w:b/>
          <w:bCs/>
          <w:sz w:val="20"/>
          <w:szCs w:val="20"/>
        </w:rPr>
        <w:t>NVMe</w:t>
      </w:r>
      <w:proofErr w:type="spellEnd"/>
      <w:r w:rsidR="00482375" w:rsidRPr="00482375">
        <w:rPr>
          <w:rFonts w:ascii="Garamond" w:hAnsi="Garamond"/>
          <w:b/>
          <w:bCs/>
          <w:sz w:val="20"/>
          <w:szCs w:val="20"/>
        </w:rPr>
        <w:t xml:space="preserve"> SSD</w:t>
      </w:r>
    </w:p>
    <w:p w14:paraId="019AB66F" w14:textId="044229CB" w:rsidR="00482375" w:rsidRDefault="00482375">
      <w:pPr>
        <w:spacing w:after="160" w:line="278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br w:type="page"/>
      </w:r>
    </w:p>
    <w:p w14:paraId="1C6E9116" w14:textId="7FA49765" w:rsidR="008A2BDC" w:rsidRPr="00184EB0" w:rsidRDefault="008A2BDC" w:rsidP="008A2BDC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184EB0">
        <w:rPr>
          <w:rFonts w:ascii="Garamond" w:hAnsi="Garamond"/>
          <w:b/>
          <w:bCs/>
          <w:sz w:val="20"/>
          <w:szCs w:val="20"/>
        </w:rPr>
        <w:lastRenderedPageBreak/>
        <w:t>Pytanie nr 4</w:t>
      </w:r>
    </w:p>
    <w:p w14:paraId="126AEFA9" w14:textId="77777777" w:rsidR="008A2BDC" w:rsidRPr="008A2BDC" w:rsidRDefault="008A2BDC" w:rsidP="008A2BDC">
      <w:pPr>
        <w:spacing w:after="0" w:line="240" w:lineRule="auto"/>
        <w:rPr>
          <w:rFonts w:ascii="Garamond" w:eastAsia="Times New Roman" w:hAnsi="Garamond"/>
          <w:color w:val="000000"/>
          <w:sz w:val="20"/>
          <w:szCs w:val="20"/>
          <w:lang w:eastAsia="pl-PL"/>
        </w:rPr>
      </w:pPr>
      <w:r w:rsidRPr="008A2BDC">
        <w:rPr>
          <w:rFonts w:ascii="Garamond" w:eastAsia="Times New Roman" w:hAnsi="Garamond"/>
          <w:color w:val="000000"/>
          <w:sz w:val="20"/>
          <w:szCs w:val="20"/>
          <w:lang w:eastAsia="pl-PL"/>
        </w:rPr>
        <w:t>W pakiecie III Zamawiający pisze w pkt 5:</w:t>
      </w:r>
    </w:p>
    <w:p w14:paraId="2B78E1F7" w14:textId="77777777" w:rsidR="008A2BDC" w:rsidRPr="008A2BDC" w:rsidRDefault="008A2BDC" w:rsidP="008A2BDC">
      <w:pPr>
        <w:spacing w:after="0" w:line="240" w:lineRule="auto"/>
        <w:rPr>
          <w:rFonts w:ascii="Garamond" w:eastAsia="Times New Roman" w:hAnsi="Garamond"/>
          <w:color w:val="000000"/>
          <w:sz w:val="20"/>
          <w:szCs w:val="20"/>
          <w:lang w:eastAsia="pl-PL"/>
        </w:rPr>
      </w:pPr>
      <w:r w:rsidRPr="008A2BDC">
        <w:rPr>
          <w:rFonts w:ascii="Garamond" w:eastAsia="Times New Roman" w:hAnsi="Garamond"/>
          <w:i/>
          <w:iCs/>
          <w:color w:val="000000"/>
          <w:sz w:val="20"/>
          <w:szCs w:val="20"/>
          <w:lang w:eastAsia="pl-PL"/>
        </w:rPr>
        <w:t>Zainstalowane dyski</w:t>
      </w:r>
      <w:r w:rsidRPr="008A2BDC">
        <w:rPr>
          <w:rFonts w:ascii="Garamond" w:eastAsia="Times New Roman" w:hAnsi="Garamond"/>
          <w:i/>
          <w:iCs/>
          <w:color w:val="000000"/>
          <w:sz w:val="20"/>
          <w:szCs w:val="20"/>
          <w:lang w:eastAsia="pl-PL"/>
        </w:rPr>
        <w:t> </w:t>
      </w:r>
      <w:r w:rsidRPr="008A2BDC">
        <w:rPr>
          <w:rFonts w:ascii="Garamond" w:eastAsia="Times New Roman" w:hAnsi="Garamond"/>
          <w:i/>
          <w:iCs/>
          <w:color w:val="000000"/>
          <w:sz w:val="20"/>
          <w:szCs w:val="20"/>
          <w:lang w:eastAsia="pl-PL"/>
        </w:rPr>
        <w:t> </w:t>
      </w:r>
      <w:r w:rsidRPr="008A2BDC">
        <w:rPr>
          <w:rFonts w:ascii="Garamond" w:eastAsia="Times New Roman" w:hAnsi="Garamond"/>
          <w:i/>
          <w:iCs/>
          <w:color w:val="000000"/>
          <w:sz w:val="20"/>
          <w:szCs w:val="20"/>
          <w:lang w:eastAsia="pl-PL"/>
        </w:rPr>
        <w:t> </w:t>
      </w:r>
      <w:r w:rsidRPr="008A2BDC">
        <w:rPr>
          <w:rFonts w:ascii="Garamond" w:eastAsia="Times New Roman" w:hAnsi="Garamond"/>
          <w:i/>
          <w:iCs/>
          <w:color w:val="000000"/>
          <w:sz w:val="20"/>
          <w:szCs w:val="20"/>
          <w:lang w:eastAsia="pl-PL"/>
        </w:rPr>
        <w:t> </w:t>
      </w:r>
      <w:r w:rsidRPr="008A2BDC">
        <w:rPr>
          <w:rFonts w:ascii="Garamond" w:eastAsia="Times New Roman" w:hAnsi="Garamond"/>
          <w:i/>
          <w:iCs/>
          <w:color w:val="000000"/>
          <w:sz w:val="20"/>
          <w:szCs w:val="20"/>
          <w:lang w:eastAsia="pl-PL"/>
        </w:rPr>
        <w:t> </w:t>
      </w:r>
      <w:r w:rsidRPr="008A2BDC">
        <w:rPr>
          <w:rFonts w:ascii="Garamond" w:eastAsia="Times New Roman" w:hAnsi="Garamond"/>
          <w:i/>
          <w:iCs/>
          <w:color w:val="000000"/>
          <w:sz w:val="20"/>
          <w:szCs w:val="20"/>
          <w:lang w:eastAsia="pl-PL"/>
        </w:rPr>
        <w:t xml:space="preserve">min. 6 × 4,8 TB </w:t>
      </w:r>
      <w:proofErr w:type="spellStart"/>
      <w:r w:rsidRPr="008A2BDC">
        <w:rPr>
          <w:rFonts w:ascii="Garamond" w:eastAsia="Times New Roman" w:hAnsi="Garamond"/>
          <w:i/>
          <w:iCs/>
          <w:color w:val="000000"/>
          <w:sz w:val="20"/>
          <w:szCs w:val="20"/>
          <w:lang w:eastAsia="pl-PL"/>
        </w:rPr>
        <w:t>NVMe</w:t>
      </w:r>
      <w:proofErr w:type="spellEnd"/>
      <w:r w:rsidRPr="008A2BDC">
        <w:rPr>
          <w:rFonts w:ascii="Garamond" w:eastAsia="Times New Roman" w:hAnsi="Garamond"/>
          <w:i/>
          <w:iCs/>
          <w:color w:val="000000"/>
          <w:sz w:val="20"/>
          <w:szCs w:val="20"/>
          <w:lang w:eastAsia="pl-PL"/>
        </w:rPr>
        <w:t xml:space="preserve"> SSD</w:t>
      </w:r>
    </w:p>
    <w:p w14:paraId="1EA6EC28" w14:textId="56881DFF" w:rsidR="008A2BDC" w:rsidRPr="00184EB0" w:rsidRDefault="008A2BDC" w:rsidP="008A2BDC">
      <w:pPr>
        <w:spacing w:after="0" w:line="240" w:lineRule="auto"/>
        <w:rPr>
          <w:rFonts w:ascii="Garamond" w:eastAsia="Times New Roman" w:hAnsi="Garamond"/>
          <w:color w:val="000000"/>
          <w:sz w:val="20"/>
          <w:szCs w:val="20"/>
          <w:lang w:eastAsia="pl-PL"/>
        </w:rPr>
      </w:pPr>
      <w:r w:rsidRPr="008A2BDC">
        <w:rPr>
          <w:rFonts w:ascii="Garamond" w:eastAsia="Times New Roman" w:hAnsi="Garamond"/>
          <w:color w:val="000000"/>
          <w:sz w:val="20"/>
          <w:szCs w:val="20"/>
          <w:lang w:eastAsia="pl-PL"/>
        </w:rPr>
        <w:t xml:space="preserve">Zważywszy na fakt, że w szacowaniu wartości przedmiotu zamówienia Zamawiający pytał o dyski 6x 3.84TB </w:t>
      </w:r>
      <w:proofErr w:type="spellStart"/>
      <w:r w:rsidRPr="008A2BDC">
        <w:rPr>
          <w:rFonts w:ascii="Garamond" w:eastAsia="Times New Roman" w:hAnsi="Garamond"/>
          <w:color w:val="000000"/>
          <w:sz w:val="20"/>
          <w:szCs w:val="20"/>
          <w:lang w:eastAsia="pl-PL"/>
        </w:rPr>
        <w:t>NVMe</w:t>
      </w:r>
      <w:proofErr w:type="spellEnd"/>
      <w:r w:rsidRPr="008A2BDC">
        <w:rPr>
          <w:rFonts w:ascii="Garamond" w:eastAsia="Times New Roman" w:hAnsi="Garamond"/>
          <w:color w:val="000000"/>
          <w:sz w:val="20"/>
          <w:szCs w:val="20"/>
          <w:lang w:eastAsia="pl-PL"/>
        </w:rPr>
        <w:t xml:space="preserve"> SSD, czy w tej pozycji nie wdał się błąd? Sugerujemy zmianę na min.  3.84 TB </w:t>
      </w:r>
      <w:proofErr w:type="spellStart"/>
      <w:r w:rsidRPr="008A2BDC">
        <w:rPr>
          <w:rFonts w:ascii="Garamond" w:eastAsia="Times New Roman" w:hAnsi="Garamond"/>
          <w:color w:val="000000"/>
          <w:sz w:val="20"/>
          <w:szCs w:val="20"/>
          <w:lang w:eastAsia="pl-PL"/>
        </w:rPr>
        <w:t>NVMe</w:t>
      </w:r>
      <w:proofErr w:type="spellEnd"/>
      <w:r w:rsidRPr="008A2BDC">
        <w:rPr>
          <w:rFonts w:ascii="Garamond" w:eastAsia="Times New Roman" w:hAnsi="Garamond"/>
          <w:color w:val="000000"/>
          <w:sz w:val="20"/>
          <w:szCs w:val="20"/>
          <w:lang w:eastAsia="pl-PL"/>
        </w:rPr>
        <w:t xml:space="preserve"> SSD</w:t>
      </w:r>
      <w:r w:rsidRPr="00184EB0">
        <w:rPr>
          <w:rFonts w:ascii="Garamond" w:eastAsia="Times New Roman" w:hAnsi="Garamond"/>
          <w:color w:val="000000"/>
          <w:sz w:val="20"/>
          <w:szCs w:val="20"/>
          <w:lang w:eastAsia="pl-PL"/>
        </w:rPr>
        <w:t xml:space="preserve"> </w:t>
      </w:r>
      <w:r w:rsidRPr="008A2BDC">
        <w:rPr>
          <w:rFonts w:ascii="Garamond" w:eastAsia="Times New Roman" w:hAnsi="Garamond"/>
          <w:color w:val="000000"/>
          <w:sz w:val="20"/>
          <w:szCs w:val="20"/>
          <w:lang w:eastAsia="pl-PL"/>
        </w:rPr>
        <w:t>Dyski o pojemności 4,8TB nie są obsługiwane przez wskazaną macierz, a kolejny dysk jest o pojemności 7.68TB którego zakup jest ekonomicznie nieuzasadniony. </w:t>
      </w:r>
    </w:p>
    <w:p w14:paraId="64167BE2" w14:textId="77777777" w:rsidR="008A2BDC" w:rsidRPr="00184EB0" w:rsidRDefault="008A2BDC" w:rsidP="008A2BDC">
      <w:pPr>
        <w:tabs>
          <w:tab w:val="left" w:pos="2610"/>
        </w:tabs>
        <w:rPr>
          <w:rFonts w:ascii="Garamond" w:hAnsi="Garamond"/>
          <w:sz w:val="20"/>
          <w:szCs w:val="20"/>
        </w:rPr>
      </w:pPr>
    </w:p>
    <w:p w14:paraId="7DFA00E1" w14:textId="560AE47A" w:rsidR="008A2BDC" w:rsidRPr="00184EB0" w:rsidRDefault="008A2BDC" w:rsidP="008A2BDC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184EB0">
        <w:rPr>
          <w:rFonts w:ascii="Garamond" w:hAnsi="Garamond"/>
          <w:b/>
          <w:bCs/>
          <w:sz w:val="20"/>
          <w:szCs w:val="20"/>
        </w:rPr>
        <w:t xml:space="preserve">Odpowiedź : </w:t>
      </w:r>
      <w:r w:rsidR="00482375" w:rsidRPr="00482375">
        <w:rPr>
          <w:rFonts w:ascii="Garamond" w:hAnsi="Garamond"/>
          <w:b/>
          <w:bCs/>
          <w:sz w:val="20"/>
          <w:szCs w:val="20"/>
        </w:rPr>
        <w:t xml:space="preserve">Zamawiający rezygnuje z zapisu min, 6 x 4,8 TB </w:t>
      </w:r>
      <w:proofErr w:type="spellStart"/>
      <w:r w:rsidR="00482375" w:rsidRPr="00482375">
        <w:rPr>
          <w:rFonts w:ascii="Garamond" w:hAnsi="Garamond"/>
          <w:b/>
          <w:bCs/>
          <w:sz w:val="20"/>
          <w:szCs w:val="20"/>
        </w:rPr>
        <w:t>NVMe</w:t>
      </w:r>
      <w:proofErr w:type="spellEnd"/>
      <w:r w:rsidR="00482375" w:rsidRPr="00482375">
        <w:rPr>
          <w:rFonts w:ascii="Garamond" w:hAnsi="Garamond"/>
          <w:b/>
          <w:bCs/>
          <w:sz w:val="20"/>
          <w:szCs w:val="20"/>
        </w:rPr>
        <w:t xml:space="preserve"> SSD. Wymaga min. 6 x 3,84 TB </w:t>
      </w:r>
      <w:proofErr w:type="spellStart"/>
      <w:r w:rsidR="00482375" w:rsidRPr="00482375">
        <w:rPr>
          <w:rFonts w:ascii="Garamond" w:hAnsi="Garamond"/>
          <w:b/>
          <w:bCs/>
          <w:sz w:val="20"/>
          <w:szCs w:val="20"/>
        </w:rPr>
        <w:t>NVMe</w:t>
      </w:r>
      <w:proofErr w:type="spellEnd"/>
      <w:r w:rsidR="00482375" w:rsidRPr="00482375">
        <w:rPr>
          <w:rFonts w:ascii="Garamond" w:hAnsi="Garamond"/>
          <w:b/>
          <w:bCs/>
          <w:sz w:val="20"/>
          <w:szCs w:val="20"/>
        </w:rPr>
        <w:t xml:space="preserve"> SSD</w:t>
      </w:r>
    </w:p>
    <w:p w14:paraId="63963F14" w14:textId="6C786BDA" w:rsidR="008A2BDC" w:rsidRPr="00184EB0" w:rsidRDefault="008A2BDC" w:rsidP="008A2BDC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184EB0">
        <w:rPr>
          <w:rFonts w:ascii="Garamond" w:hAnsi="Garamond"/>
          <w:b/>
          <w:bCs/>
          <w:sz w:val="20"/>
          <w:szCs w:val="20"/>
        </w:rPr>
        <w:t>Pytanie nr 5</w:t>
      </w:r>
    </w:p>
    <w:p w14:paraId="01E3367B" w14:textId="04ADCCE7" w:rsidR="008A2BDC" w:rsidRPr="00184EB0" w:rsidRDefault="008A2BDC" w:rsidP="008A2BDC">
      <w:pPr>
        <w:tabs>
          <w:tab w:val="left" w:pos="2610"/>
        </w:tabs>
        <w:rPr>
          <w:rFonts w:ascii="Garamond" w:hAnsi="Garamond"/>
          <w:sz w:val="20"/>
          <w:szCs w:val="20"/>
        </w:rPr>
      </w:pPr>
      <w:r w:rsidRPr="00184EB0">
        <w:rPr>
          <w:rFonts w:ascii="Garamond" w:hAnsi="Garamond"/>
          <w:sz w:val="20"/>
          <w:szCs w:val="20"/>
        </w:rPr>
        <w:t xml:space="preserve">1) Procesory „2 × Intel Xeon, min. 24 rdzenie każdy, taktowanie min. 2,2 GHz” – wymóg opisuje konkretne cechy architektury Dell </w:t>
      </w:r>
      <w:proofErr w:type="spellStart"/>
      <w:r w:rsidRPr="00184EB0">
        <w:rPr>
          <w:rFonts w:ascii="Garamond" w:hAnsi="Garamond"/>
          <w:sz w:val="20"/>
          <w:szCs w:val="20"/>
        </w:rPr>
        <w:t>PowerStore</w:t>
      </w:r>
      <w:proofErr w:type="spellEnd"/>
      <w:r w:rsidRPr="00184EB0">
        <w:rPr>
          <w:rFonts w:ascii="Garamond" w:hAnsi="Garamond"/>
          <w:sz w:val="20"/>
          <w:szCs w:val="20"/>
        </w:rPr>
        <w:t xml:space="preserve"> 500T i nie odwołuje się do efektu (wydajności), przez co narusza zasadę proporcjonalności i ogranicza konkurencję. Podstawa prawna – art. 16 pkt 1–3 </w:t>
      </w:r>
      <w:proofErr w:type="spellStart"/>
      <w:r w:rsidRPr="00184EB0">
        <w:rPr>
          <w:rFonts w:ascii="Garamond" w:hAnsi="Garamond"/>
          <w:sz w:val="20"/>
          <w:szCs w:val="20"/>
        </w:rPr>
        <w:t>Pzp</w:t>
      </w:r>
      <w:proofErr w:type="spellEnd"/>
      <w:r w:rsidRPr="00184EB0">
        <w:rPr>
          <w:rFonts w:ascii="Garamond" w:hAnsi="Garamond"/>
          <w:sz w:val="20"/>
          <w:szCs w:val="20"/>
        </w:rPr>
        <w:t xml:space="preserve"> (równe traktowanie, uczciwa konkurencja), art. 99 ust. 2 i 4 </w:t>
      </w:r>
      <w:proofErr w:type="spellStart"/>
      <w:r w:rsidRPr="00184EB0">
        <w:rPr>
          <w:rFonts w:ascii="Garamond" w:hAnsi="Garamond"/>
          <w:sz w:val="20"/>
          <w:szCs w:val="20"/>
        </w:rPr>
        <w:t>Pzp</w:t>
      </w:r>
      <w:proofErr w:type="spellEnd"/>
      <w:r w:rsidRPr="00184EB0">
        <w:rPr>
          <w:rFonts w:ascii="Garamond" w:hAnsi="Garamond"/>
          <w:sz w:val="20"/>
          <w:szCs w:val="20"/>
        </w:rPr>
        <w:t xml:space="preserve"> (zakaz opisu o cechach właściwych jednemu producentowi). Orzecznictwo – KIO 1266/22 uznała, że wymóg określający architekturę CPU w macierzy jest nieproporcjonalny i wyklucza konkurentów. Wniosek – zastąpienie parametru konstrukcyjnego miarą wydajności, np. SPECint_rate_base2017 ≥ 18 000 lub równoważną. </w:t>
      </w:r>
    </w:p>
    <w:p w14:paraId="1921B10E" w14:textId="360881D8" w:rsidR="008A2BDC" w:rsidRPr="00184EB0" w:rsidRDefault="008A2BDC" w:rsidP="008A2BDC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184EB0">
        <w:rPr>
          <w:rFonts w:ascii="Garamond" w:hAnsi="Garamond"/>
          <w:b/>
          <w:bCs/>
          <w:sz w:val="20"/>
          <w:szCs w:val="20"/>
        </w:rPr>
        <w:t xml:space="preserve">Odpowiedź : </w:t>
      </w:r>
      <w:r w:rsidR="00482375" w:rsidRPr="00482375">
        <w:rPr>
          <w:rFonts w:ascii="Garamond" w:hAnsi="Garamond"/>
          <w:b/>
          <w:bCs/>
          <w:sz w:val="20"/>
          <w:szCs w:val="20"/>
        </w:rPr>
        <w:t>Zamawiający rezygnuje z zapisu „2 x Intel Xeon, min. 24 rdzeni</w:t>
      </w:r>
      <w:r w:rsidR="00482375">
        <w:rPr>
          <w:rFonts w:ascii="Garamond" w:hAnsi="Garamond"/>
          <w:b/>
          <w:bCs/>
          <w:sz w:val="20"/>
          <w:szCs w:val="20"/>
        </w:rPr>
        <w:t>e</w:t>
      </w:r>
      <w:r w:rsidR="00482375" w:rsidRPr="00482375">
        <w:rPr>
          <w:rFonts w:ascii="Garamond" w:hAnsi="Garamond"/>
          <w:b/>
          <w:bCs/>
          <w:sz w:val="20"/>
          <w:szCs w:val="20"/>
        </w:rPr>
        <w:t xml:space="preserve"> każdy, taktowanie min. 2,2 GHz”. Wymaga „2 x Intel Xeon, min. 12 rdzeni każdy, taktowanie min. 2,2 GHz”</w:t>
      </w:r>
    </w:p>
    <w:p w14:paraId="5221D9ED" w14:textId="0E5B24B2" w:rsidR="008A2BDC" w:rsidRPr="00184EB0" w:rsidRDefault="008A2BDC" w:rsidP="008A2BDC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184EB0">
        <w:rPr>
          <w:rFonts w:ascii="Garamond" w:hAnsi="Garamond"/>
          <w:b/>
          <w:bCs/>
          <w:sz w:val="20"/>
          <w:szCs w:val="20"/>
        </w:rPr>
        <w:t>Pytanie nr 6</w:t>
      </w:r>
    </w:p>
    <w:p w14:paraId="39B2728C" w14:textId="77777777" w:rsidR="008A2BDC" w:rsidRPr="00184EB0" w:rsidRDefault="008A2BDC" w:rsidP="008A2BDC">
      <w:pPr>
        <w:tabs>
          <w:tab w:val="left" w:pos="2610"/>
        </w:tabs>
        <w:rPr>
          <w:rFonts w:ascii="Garamond" w:hAnsi="Garamond"/>
          <w:sz w:val="20"/>
          <w:szCs w:val="20"/>
        </w:rPr>
      </w:pPr>
      <w:r w:rsidRPr="00184EB0">
        <w:rPr>
          <w:rFonts w:ascii="Garamond" w:hAnsi="Garamond"/>
          <w:sz w:val="20"/>
          <w:szCs w:val="20"/>
        </w:rPr>
        <w:t xml:space="preserve">2) Pamięć RAM „min. 192 GB (po 96 GB na każdy z dwóch węzłów)” – wartość liczbową ustalono arbitralnie; brak dowodu, że właśnie 192 GB jest niezbędne do osiągnięcia progu 120 000 IOPS. Podstawa prawna – art. 16 i art. 99 ust. 1–2 </w:t>
      </w:r>
      <w:proofErr w:type="spellStart"/>
      <w:r w:rsidRPr="00184EB0">
        <w:rPr>
          <w:rFonts w:ascii="Garamond" w:hAnsi="Garamond"/>
          <w:sz w:val="20"/>
          <w:szCs w:val="20"/>
        </w:rPr>
        <w:t>Pzp</w:t>
      </w:r>
      <w:proofErr w:type="spellEnd"/>
      <w:r w:rsidRPr="00184EB0">
        <w:rPr>
          <w:rFonts w:ascii="Garamond" w:hAnsi="Garamond"/>
          <w:sz w:val="20"/>
          <w:szCs w:val="20"/>
        </w:rPr>
        <w:t xml:space="preserve"> (wymaganie powinno być proporcjonalne do celu). Orzecznictwo – KIO 90/23 stwierdziła, że kumulacja szczegółowych parametrów niewpływających na wynik funkcjonalny narusza art. 99 ust. 2 i 4 </w:t>
      </w:r>
      <w:proofErr w:type="spellStart"/>
      <w:r w:rsidRPr="00184EB0">
        <w:rPr>
          <w:rFonts w:ascii="Garamond" w:hAnsi="Garamond"/>
          <w:sz w:val="20"/>
          <w:szCs w:val="20"/>
        </w:rPr>
        <w:t>Pzp</w:t>
      </w:r>
      <w:proofErr w:type="spellEnd"/>
      <w:r w:rsidRPr="00184EB0">
        <w:rPr>
          <w:rFonts w:ascii="Garamond" w:hAnsi="Garamond"/>
          <w:sz w:val="20"/>
          <w:szCs w:val="20"/>
        </w:rPr>
        <w:t xml:space="preserve"> . Wniosek – określenie RAM poprzez rezultat („ilość pamięci gwarantująca 120 000 IOPS”) zamiast sztywnej wartości. </w:t>
      </w:r>
    </w:p>
    <w:p w14:paraId="0688D38D" w14:textId="034D669E" w:rsidR="008A2BDC" w:rsidRPr="00184EB0" w:rsidRDefault="008A2BDC" w:rsidP="008A2BDC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05009C">
        <w:rPr>
          <w:rFonts w:ascii="Garamond" w:hAnsi="Garamond"/>
          <w:b/>
          <w:bCs/>
          <w:sz w:val="20"/>
          <w:szCs w:val="20"/>
        </w:rPr>
        <w:t xml:space="preserve">Odpowiedź : </w:t>
      </w:r>
      <w:r w:rsidR="00C019BC" w:rsidRPr="0005009C">
        <w:rPr>
          <w:rFonts w:ascii="Garamond" w:hAnsi="Garamond"/>
          <w:b/>
          <w:bCs/>
          <w:sz w:val="20"/>
          <w:szCs w:val="20"/>
        </w:rPr>
        <w:t xml:space="preserve">Zamawiający zmienia zapis na: </w:t>
      </w:r>
      <w:r w:rsidR="00AF68B2" w:rsidRPr="0005009C">
        <w:rPr>
          <w:rFonts w:ascii="Garamond" w:hAnsi="Garamond"/>
          <w:b/>
          <w:bCs/>
          <w:sz w:val="20"/>
          <w:szCs w:val="20"/>
        </w:rPr>
        <w:t>„Minimalna pamięć RAM: wystarczająca do osiągnięcia 120 000 IOPS w konfiguracji z co najmniej dwoma węzłami, z możliwością rozbudowy w miarę potrzeb. Ilość pamięci RAM na węzeł powinna być zgodna z wymaganiami systemu w zakresie wydajności operacji wejścia/wyjścia.”</w:t>
      </w:r>
    </w:p>
    <w:p w14:paraId="0F438683" w14:textId="128C72C8" w:rsidR="008A2BDC" w:rsidRPr="00184EB0" w:rsidRDefault="008A2BDC" w:rsidP="008A2BDC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184EB0">
        <w:rPr>
          <w:rFonts w:ascii="Garamond" w:hAnsi="Garamond"/>
          <w:b/>
          <w:bCs/>
          <w:sz w:val="20"/>
          <w:szCs w:val="20"/>
        </w:rPr>
        <w:t>Pytanie nr 7</w:t>
      </w:r>
    </w:p>
    <w:p w14:paraId="1F16962E" w14:textId="77777777" w:rsidR="008A2BDC" w:rsidRPr="00184EB0" w:rsidRDefault="008A2BDC" w:rsidP="008A2BDC">
      <w:pPr>
        <w:tabs>
          <w:tab w:val="left" w:pos="2610"/>
        </w:tabs>
        <w:rPr>
          <w:rFonts w:ascii="Garamond" w:hAnsi="Garamond"/>
          <w:sz w:val="20"/>
          <w:szCs w:val="20"/>
        </w:rPr>
      </w:pPr>
      <w:r w:rsidRPr="00184EB0">
        <w:rPr>
          <w:rFonts w:ascii="Garamond" w:hAnsi="Garamond"/>
          <w:sz w:val="20"/>
          <w:szCs w:val="20"/>
        </w:rPr>
        <w:t xml:space="preserve">3) Zatoki dyskowe „min. 25 × 2,5" </w:t>
      </w:r>
      <w:proofErr w:type="spellStart"/>
      <w:r w:rsidRPr="00184EB0">
        <w:rPr>
          <w:rFonts w:ascii="Garamond" w:hAnsi="Garamond"/>
          <w:sz w:val="20"/>
          <w:szCs w:val="20"/>
        </w:rPr>
        <w:t>NVMe</w:t>
      </w:r>
      <w:proofErr w:type="spellEnd"/>
      <w:r w:rsidRPr="00184EB0">
        <w:rPr>
          <w:rFonts w:ascii="Garamond" w:hAnsi="Garamond"/>
          <w:sz w:val="20"/>
          <w:szCs w:val="20"/>
        </w:rPr>
        <w:t xml:space="preserve"> SSD” – 25-slotowe chassis występuje jedynie w rozwiązaniu Dell; standard rynkowy to 24 lub 26 slotów. Warunek nie wpływa na osiągnięcie wymaganej pojemności 1 PB ani wydajności 120 000 IOPS, a eliminuje innych producentów. Podstawa prawna – art. 99 ust. 4 </w:t>
      </w:r>
      <w:proofErr w:type="spellStart"/>
      <w:r w:rsidRPr="00184EB0">
        <w:rPr>
          <w:rFonts w:ascii="Garamond" w:hAnsi="Garamond"/>
          <w:sz w:val="20"/>
          <w:szCs w:val="20"/>
        </w:rPr>
        <w:t>Pzp</w:t>
      </w:r>
      <w:proofErr w:type="spellEnd"/>
      <w:r w:rsidRPr="00184EB0">
        <w:rPr>
          <w:rFonts w:ascii="Garamond" w:hAnsi="Garamond"/>
          <w:sz w:val="20"/>
          <w:szCs w:val="20"/>
        </w:rPr>
        <w:t xml:space="preserve">. Orzecznictwo – KIO 1520/22 wskazała, że narzucenie specyficznego układu </w:t>
      </w:r>
      <w:proofErr w:type="spellStart"/>
      <w:r w:rsidRPr="00184EB0">
        <w:rPr>
          <w:rFonts w:ascii="Garamond" w:hAnsi="Garamond"/>
          <w:sz w:val="20"/>
          <w:szCs w:val="20"/>
        </w:rPr>
        <w:t>NVMe</w:t>
      </w:r>
      <w:proofErr w:type="spellEnd"/>
      <w:r w:rsidRPr="00184EB0">
        <w:rPr>
          <w:rFonts w:ascii="Garamond" w:hAnsi="Garamond"/>
          <w:sz w:val="20"/>
          <w:szCs w:val="20"/>
        </w:rPr>
        <w:t xml:space="preserve"> ogranicza konkurencję. Wniosek – dopuszczenie konfiguracji z 24 zatokami w obudowie podstawowej lub 24 + jedna półka, o ile całość spełni wymagania wydajności i pojemności. </w:t>
      </w:r>
    </w:p>
    <w:p w14:paraId="6BE0C20C" w14:textId="28E3FF45" w:rsidR="008A2BDC" w:rsidRDefault="008A2BDC" w:rsidP="008A2BDC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184EB0">
        <w:rPr>
          <w:rFonts w:ascii="Garamond" w:hAnsi="Garamond"/>
          <w:b/>
          <w:bCs/>
          <w:sz w:val="20"/>
          <w:szCs w:val="20"/>
        </w:rPr>
        <w:t xml:space="preserve">Odpowiedź : </w:t>
      </w:r>
      <w:r w:rsidR="00AF68B2" w:rsidRPr="00AF68B2">
        <w:rPr>
          <w:rFonts w:ascii="Garamond" w:hAnsi="Garamond"/>
          <w:b/>
          <w:bCs/>
          <w:sz w:val="20"/>
          <w:szCs w:val="20"/>
        </w:rPr>
        <w:t xml:space="preserve">Zamawiający zmienia zapis min. 25 × 2,5" </w:t>
      </w:r>
      <w:proofErr w:type="spellStart"/>
      <w:r w:rsidR="00AF68B2" w:rsidRPr="00AF68B2">
        <w:rPr>
          <w:rFonts w:ascii="Garamond" w:hAnsi="Garamond"/>
          <w:b/>
          <w:bCs/>
          <w:sz w:val="20"/>
          <w:szCs w:val="20"/>
        </w:rPr>
        <w:t>NVMe</w:t>
      </w:r>
      <w:proofErr w:type="spellEnd"/>
      <w:r w:rsidR="00AF68B2" w:rsidRPr="00AF68B2">
        <w:rPr>
          <w:rFonts w:ascii="Garamond" w:hAnsi="Garamond"/>
          <w:b/>
          <w:bCs/>
          <w:sz w:val="20"/>
          <w:szCs w:val="20"/>
        </w:rPr>
        <w:t xml:space="preserve"> SSD. Wymaga „Min</w:t>
      </w:r>
      <w:r w:rsidR="00AF68B2">
        <w:rPr>
          <w:rFonts w:ascii="Garamond" w:hAnsi="Garamond"/>
          <w:b/>
          <w:bCs/>
          <w:sz w:val="20"/>
          <w:szCs w:val="20"/>
        </w:rPr>
        <w:t>.</w:t>
      </w:r>
      <w:r w:rsidR="00AF68B2" w:rsidRPr="00AF68B2">
        <w:rPr>
          <w:rFonts w:ascii="Garamond" w:hAnsi="Garamond"/>
          <w:b/>
          <w:bCs/>
          <w:sz w:val="20"/>
          <w:szCs w:val="20"/>
        </w:rPr>
        <w:t xml:space="preserve"> 25 dysków SSD </w:t>
      </w:r>
      <w:proofErr w:type="spellStart"/>
      <w:r w:rsidR="00AF68B2" w:rsidRPr="00AF68B2">
        <w:rPr>
          <w:rFonts w:ascii="Garamond" w:hAnsi="Garamond"/>
          <w:b/>
          <w:bCs/>
          <w:sz w:val="20"/>
          <w:szCs w:val="20"/>
        </w:rPr>
        <w:t>NVMe</w:t>
      </w:r>
      <w:proofErr w:type="spellEnd"/>
      <w:r w:rsidR="00AF68B2" w:rsidRPr="00AF68B2">
        <w:rPr>
          <w:rFonts w:ascii="Garamond" w:hAnsi="Garamond"/>
          <w:b/>
          <w:bCs/>
          <w:sz w:val="20"/>
          <w:szCs w:val="20"/>
        </w:rPr>
        <w:t xml:space="preserve"> 2,5” w konfiguracji umożliwiającej obsługę co najmniej 25 dysków w obudowie lub jednostce rozbudowy, z zachowaniem zgodności z wymaganiami dotyczącymi pojemności i wydajności.”</w:t>
      </w:r>
    </w:p>
    <w:p w14:paraId="43E2E0A2" w14:textId="77777777" w:rsidR="00AF68B2" w:rsidRPr="00AF68B2" w:rsidRDefault="00AF68B2" w:rsidP="00AF68B2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AF68B2">
        <w:rPr>
          <w:rFonts w:ascii="Garamond" w:hAnsi="Garamond"/>
          <w:b/>
          <w:bCs/>
          <w:sz w:val="20"/>
          <w:szCs w:val="20"/>
        </w:rPr>
        <w:t xml:space="preserve">Uzasadnienie zapisów dotyczących dysków </w:t>
      </w:r>
      <w:proofErr w:type="spellStart"/>
      <w:r w:rsidRPr="00AF68B2">
        <w:rPr>
          <w:rFonts w:ascii="Garamond" w:hAnsi="Garamond"/>
          <w:b/>
          <w:bCs/>
          <w:sz w:val="20"/>
          <w:szCs w:val="20"/>
        </w:rPr>
        <w:t>NVMe</w:t>
      </w:r>
      <w:proofErr w:type="spellEnd"/>
      <w:r w:rsidRPr="00AF68B2">
        <w:rPr>
          <w:rFonts w:ascii="Garamond" w:hAnsi="Garamond"/>
          <w:b/>
          <w:bCs/>
          <w:sz w:val="20"/>
          <w:szCs w:val="20"/>
        </w:rPr>
        <w:t>:</w:t>
      </w:r>
    </w:p>
    <w:p w14:paraId="07939B32" w14:textId="00355248" w:rsidR="00AF68B2" w:rsidRDefault="00AF68B2" w:rsidP="006502DB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AF68B2">
        <w:rPr>
          <w:rFonts w:ascii="Garamond" w:hAnsi="Garamond"/>
          <w:b/>
          <w:bCs/>
          <w:sz w:val="20"/>
          <w:szCs w:val="20"/>
        </w:rPr>
        <w:t xml:space="preserve">Wymóg stosowania dysków </w:t>
      </w:r>
      <w:proofErr w:type="spellStart"/>
      <w:r w:rsidRPr="00AF68B2">
        <w:rPr>
          <w:rFonts w:ascii="Garamond" w:hAnsi="Garamond"/>
          <w:b/>
          <w:bCs/>
          <w:sz w:val="20"/>
          <w:szCs w:val="20"/>
        </w:rPr>
        <w:t>NVMe</w:t>
      </w:r>
      <w:proofErr w:type="spellEnd"/>
      <w:r w:rsidRPr="00AF68B2">
        <w:rPr>
          <w:rFonts w:ascii="Garamond" w:hAnsi="Garamond"/>
          <w:b/>
          <w:bCs/>
          <w:sz w:val="20"/>
          <w:szCs w:val="20"/>
        </w:rPr>
        <w:t xml:space="preserve"> wynika z konieczności zapewnienia dużej niezawodności i wydajności przy dużym obciążeniu systemu. Dyski te oferują wyższy poziom trwałości, co jest szczególnie ważne w systemach, które muszą działać w trybie 24/7 bez przerwy. Dyski </w:t>
      </w:r>
      <w:proofErr w:type="spellStart"/>
      <w:r w:rsidRPr="00AF68B2">
        <w:rPr>
          <w:rFonts w:ascii="Garamond" w:hAnsi="Garamond"/>
          <w:b/>
          <w:bCs/>
          <w:sz w:val="20"/>
          <w:szCs w:val="20"/>
        </w:rPr>
        <w:t>NVMe</w:t>
      </w:r>
      <w:proofErr w:type="spellEnd"/>
      <w:r w:rsidRPr="00AF68B2">
        <w:rPr>
          <w:rFonts w:ascii="Garamond" w:hAnsi="Garamond"/>
          <w:b/>
          <w:bCs/>
          <w:sz w:val="20"/>
          <w:szCs w:val="20"/>
        </w:rPr>
        <w:t xml:space="preserve"> zostały wybrane, aby zapewnić zgodność z długoterminową strategią rozwoju infrastruktury IT, umożliwiając łatwą rozbudowę systemu oraz zgodność z nowoczesnymi rozwiązaniami technologicznymi, które będą dostępne w przyszłości.</w:t>
      </w:r>
      <w:r>
        <w:rPr>
          <w:rFonts w:ascii="Garamond" w:hAnsi="Garamond"/>
          <w:b/>
          <w:bCs/>
          <w:sz w:val="20"/>
          <w:szCs w:val="20"/>
        </w:rPr>
        <w:br w:type="page"/>
      </w:r>
    </w:p>
    <w:p w14:paraId="28D97B92" w14:textId="05682657" w:rsidR="008A2BDC" w:rsidRPr="00184EB0" w:rsidRDefault="008A2BDC" w:rsidP="008A2BDC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184EB0">
        <w:rPr>
          <w:rFonts w:ascii="Garamond" w:hAnsi="Garamond"/>
          <w:b/>
          <w:bCs/>
          <w:sz w:val="20"/>
          <w:szCs w:val="20"/>
        </w:rPr>
        <w:lastRenderedPageBreak/>
        <w:t>Pytanie nr 8</w:t>
      </w:r>
    </w:p>
    <w:p w14:paraId="6246C97E" w14:textId="311C2079" w:rsidR="008A2BDC" w:rsidRPr="00184EB0" w:rsidRDefault="008A2BDC" w:rsidP="008A2BDC">
      <w:pPr>
        <w:tabs>
          <w:tab w:val="left" w:pos="2610"/>
        </w:tabs>
        <w:rPr>
          <w:rFonts w:ascii="Garamond" w:hAnsi="Garamond"/>
          <w:sz w:val="20"/>
          <w:szCs w:val="20"/>
        </w:rPr>
      </w:pPr>
      <w:r w:rsidRPr="00184EB0">
        <w:rPr>
          <w:rFonts w:ascii="Garamond" w:hAnsi="Garamond"/>
          <w:sz w:val="20"/>
          <w:szCs w:val="20"/>
        </w:rPr>
        <w:t xml:space="preserve">4) Skalowalność „możliwość rozbudowy do min. 97 dysków (max 3 obudowy rozszerzające)” – liczba 97 i limit trzech półek opisują wyłącznie topologię Dell </w:t>
      </w:r>
      <w:proofErr w:type="spellStart"/>
      <w:r w:rsidRPr="00184EB0">
        <w:rPr>
          <w:rFonts w:ascii="Garamond" w:hAnsi="Garamond"/>
          <w:sz w:val="20"/>
          <w:szCs w:val="20"/>
        </w:rPr>
        <w:t>PowerStore</w:t>
      </w:r>
      <w:proofErr w:type="spellEnd"/>
      <w:r w:rsidRPr="00184EB0">
        <w:rPr>
          <w:rFonts w:ascii="Garamond" w:hAnsi="Garamond"/>
          <w:sz w:val="20"/>
          <w:szCs w:val="20"/>
        </w:rPr>
        <w:t xml:space="preserve">; nie uwzględniają alternatywnych </w:t>
      </w:r>
      <w:proofErr w:type="spellStart"/>
      <w:r w:rsidRPr="00184EB0">
        <w:rPr>
          <w:rFonts w:ascii="Garamond" w:hAnsi="Garamond"/>
          <w:sz w:val="20"/>
          <w:szCs w:val="20"/>
        </w:rPr>
        <w:t>architektur</w:t>
      </w:r>
      <w:proofErr w:type="spellEnd"/>
      <w:r w:rsidRPr="00184EB0">
        <w:rPr>
          <w:rFonts w:ascii="Garamond" w:hAnsi="Garamond"/>
          <w:sz w:val="20"/>
          <w:szCs w:val="20"/>
        </w:rPr>
        <w:t xml:space="preserve"> </w:t>
      </w:r>
      <w:proofErr w:type="spellStart"/>
      <w:r w:rsidRPr="00184EB0">
        <w:rPr>
          <w:rFonts w:ascii="Garamond" w:hAnsi="Garamond"/>
          <w:sz w:val="20"/>
          <w:szCs w:val="20"/>
        </w:rPr>
        <w:t>scale</w:t>
      </w:r>
      <w:proofErr w:type="spellEnd"/>
      <w:r w:rsidRPr="00184EB0">
        <w:rPr>
          <w:rFonts w:ascii="Garamond" w:hAnsi="Garamond"/>
          <w:sz w:val="20"/>
          <w:szCs w:val="20"/>
        </w:rPr>
        <w:t xml:space="preserve">-out lub </w:t>
      </w:r>
      <w:proofErr w:type="spellStart"/>
      <w:r w:rsidRPr="00184EB0">
        <w:rPr>
          <w:rFonts w:ascii="Garamond" w:hAnsi="Garamond"/>
          <w:sz w:val="20"/>
          <w:szCs w:val="20"/>
        </w:rPr>
        <w:t>scale-up</w:t>
      </w:r>
      <w:proofErr w:type="spellEnd"/>
      <w:r w:rsidRPr="00184EB0">
        <w:rPr>
          <w:rFonts w:ascii="Garamond" w:hAnsi="Garamond"/>
          <w:sz w:val="20"/>
          <w:szCs w:val="20"/>
        </w:rPr>
        <w:t xml:space="preserve">, które osiągają tę samą pojemność 1 PB i wymaganą wydajność. Podstawa prawna – art. 99 ust. 2 </w:t>
      </w:r>
      <w:proofErr w:type="spellStart"/>
      <w:r w:rsidRPr="00184EB0">
        <w:rPr>
          <w:rFonts w:ascii="Garamond" w:hAnsi="Garamond"/>
          <w:sz w:val="20"/>
          <w:szCs w:val="20"/>
        </w:rPr>
        <w:t>Pzp</w:t>
      </w:r>
      <w:proofErr w:type="spellEnd"/>
      <w:r w:rsidRPr="00184EB0">
        <w:rPr>
          <w:rFonts w:ascii="Garamond" w:hAnsi="Garamond"/>
          <w:sz w:val="20"/>
          <w:szCs w:val="20"/>
        </w:rPr>
        <w:t xml:space="preserve"> (opis przedmiotu zamówienia ma zapewniać konkurencję). Orzecznictwo – tożsame zasady proporcjonalności przywołane w KIO 90/23 . Wniosek – zastąpić wymogiem funkcjonalnym: skalowalność do min. 3 PB RAW lub min. 4 kontrolerów w klastrze, bez określania liczby półek. Podsumowanie: Na podstawie art. 16 i art. 99 ust. 2 i 4 </w:t>
      </w:r>
      <w:proofErr w:type="spellStart"/>
      <w:r w:rsidRPr="00184EB0">
        <w:rPr>
          <w:rFonts w:ascii="Garamond" w:hAnsi="Garamond"/>
          <w:sz w:val="20"/>
          <w:szCs w:val="20"/>
        </w:rPr>
        <w:t>Pzp</w:t>
      </w:r>
      <w:proofErr w:type="spellEnd"/>
      <w:r w:rsidRPr="00184EB0">
        <w:rPr>
          <w:rFonts w:ascii="Garamond" w:hAnsi="Garamond"/>
          <w:sz w:val="20"/>
          <w:szCs w:val="20"/>
        </w:rPr>
        <w:t xml:space="preserve"> oraz orzeczeń KIO 1266/22, KIO 90/23 i KIO 1520/22 wnosimy o: Usunięcie parametrów konstrukcyjnych (CPU 2 × 24C 2,2 GHz, 192 GB RAM, 25 zatok, 97 dysków / 3 półki). Wprowadzenie mierzalnych kryteriów funkcjonalnych (benchmark wydajności CPU, dowolna ilość RAM spełniająca 120 </w:t>
      </w:r>
      <w:proofErr w:type="spellStart"/>
      <w:r w:rsidRPr="00184EB0">
        <w:rPr>
          <w:rFonts w:ascii="Garamond" w:hAnsi="Garamond"/>
          <w:sz w:val="20"/>
          <w:szCs w:val="20"/>
        </w:rPr>
        <w:t>kIOPS</w:t>
      </w:r>
      <w:proofErr w:type="spellEnd"/>
      <w:r w:rsidRPr="00184EB0">
        <w:rPr>
          <w:rFonts w:ascii="Garamond" w:hAnsi="Garamond"/>
          <w:sz w:val="20"/>
          <w:szCs w:val="20"/>
        </w:rPr>
        <w:t xml:space="preserve">, min. 24 zatoki lub równoważny układ, skalowalność poprzez pojemność RAW). Publikację zaktualizowanej SWZ zgodnie z art. 284 ust. 2 </w:t>
      </w:r>
      <w:proofErr w:type="spellStart"/>
      <w:r w:rsidRPr="00184EB0">
        <w:rPr>
          <w:rFonts w:ascii="Garamond" w:hAnsi="Garamond"/>
          <w:sz w:val="20"/>
          <w:szCs w:val="20"/>
        </w:rPr>
        <w:t>Pzp</w:t>
      </w:r>
      <w:proofErr w:type="spellEnd"/>
      <w:r w:rsidRPr="00184EB0">
        <w:rPr>
          <w:rFonts w:ascii="Garamond" w:hAnsi="Garamond"/>
          <w:sz w:val="20"/>
          <w:szCs w:val="20"/>
        </w:rPr>
        <w:t>. Umożliwi to złożenie ofert równoważnych, spełniających rzeczywiste potrzeby Zamawiającego, bez naruszenia zasad konkurencji i proporcjonalności.</w:t>
      </w:r>
    </w:p>
    <w:p w14:paraId="6AFA68D6" w14:textId="416AAD3D" w:rsidR="000901BB" w:rsidRPr="0005009C" w:rsidRDefault="008A2BDC" w:rsidP="008A2BDC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05009C">
        <w:rPr>
          <w:rFonts w:ascii="Garamond" w:hAnsi="Garamond"/>
          <w:b/>
          <w:bCs/>
          <w:sz w:val="20"/>
          <w:szCs w:val="20"/>
        </w:rPr>
        <w:t xml:space="preserve">Odpowiedź : </w:t>
      </w:r>
      <w:r w:rsidR="0080263A" w:rsidRPr="0005009C">
        <w:rPr>
          <w:rFonts w:ascii="Garamond" w:hAnsi="Garamond"/>
          <w:b/>
          <w:bCs/>
          <w:sz w:val="20"/>
          <w:szCs w:val="20"/>
        </w:rPr>
        <w:t xml:space="preserve">Zamawiający zmienia zapis „Możliwość rozbudowy do min. 97 dysków (max. 3 obudowy rozszerzające)” </w:t>
      </w:r>
      <w:r w:rsidR="000901BB" w:rsidRPr="0005009C">
        <w:rPr>
          <w:rFonts w:ascii="Garamond" w:hAnsi="Garamond"/>
          <w:b/>
          <w:bCs/>
          <w:sz w:val="20"/>
          <w:szCs w:val="20"/>
        </w:rPr>
        <w:t>na</w:t>
      </w:r>
      <w:r w:rsidR="0080263A" w:rsidRPr="0005009C">
        <w:rPr>
          <w:rFonts w:ascii="Garamond" w:hAnsi="Garamond"/>
          <w:b/>
          <w:bCs/>
          <w:sz w:val="20"/>
          <w:szCs w:val="20"/>
        </w:rPr>
        <w:t xml:space="preserve"> </w:t>
      </w:r>
      <w:r w:rsidR="000901BB" w:rsidRPr="0005009C">
        <w:rPr>
          <w:rFonts w:ascii="Garamond" w:hAnsi="Garamond"/>
          <w:b/>
          <w:bCs/>
          <w:sz w:val="20"/>
          <w:szCs w:val="20"/>
        </w:rPr>
        <w:t>„Możliwość rozbudowy o min 2 dodatkowe obudowy rozszerzające.”</w:t>
      </w:r>
    </w:p>
    <w:p w14:paraId="7E104703" w14:textId="5B854069" w:rsidR="008A2BDC" w:rsidRPr="00184EB0" w:rsidRDefault="008A2BDC" w:rsidP="008A2BDC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184EB0">
        <w:rPr>
          <w:rFonts w:ascii="Garamond" w:hAnsi="Garamond"/>
          <w:b/>
          <w:bCs/>
          <w:sz w:val="20"/>
          <w:szCs w:val="20"/>
        </w:rPr>
        <w:t xml:space="preserve">Pytanie nr 9 </w:t>
      </w:r>
    </w:p>
    <w:p w14:paraId="02FD8F11" w14:textId="438E74F3" w:rsidR="00184EB0" w:rsidRPr="00184EB0" w:rsidRDefault="00184EB0" w:rsidP="008A2BDC">
      <w:pPr>
        <w:tabs>
          <w:tab w:val="left" w:pos="2610"/>
        </w:tabs>
        <w:rPr>
          <w:rFonts w:ascii="Garamond" w:hAnsi="Garamond"/>
          <w:sz w:val="20"/>
          <w:szCs w:val="20"/>
        </w:rPr>
      </w:pPr>
      <w:r w:rsidRPr="00184EB0">
        <w:rPr>
          <w:rFonts w:ascii="Garamond" w:hAnsi="Garamond"/>
          <w:sz w:val="20"/>
          <w:szCs w:val="20"/>
        </w:rPr>
        <w:t xml:space="preserve">pytanie nr 9 do umowy. §3.4. Wraz z Przedmiotem Umowy, Sprzedający dostarczy instrukcje obsługi w języku polskim i opis techniczny w języku polskim, karty gwarancyjne i inne dokumenty służące do wykonania przez Zamawiającego świadczeń gwarancyjnych. Wnosimy do Zamawiającego o usunięcie zapisu, gdyż wraz z dostawą sprzętu nie są dostarczane dokumenty gwarancyjne czy instrukcje obsługi w formie papierowej. Serwis świadczony jest w oparciu o indywidualny numer seryjny produktu. Na jego podstawie Zamawiający uzyskuje w trakcie gwarancji wszelką pomoc techniczną oraz serwisową nabywanego sprzętu. Ponadto wszelka dokumentacja, dotycząca przedmiotu zamówienia, w tym </w:t>
      </w:r>
      <w:proofErr w:type="spellStart"/>
      <w:r w:rsidRPr="00184EB0">
        <w:rPr>
          <w:rFonts w:ascii="Garamond" w:hAnsi="Garamond"/>
          <w:sz w:val="20"/>
          <w:szCs w:val="20"/>
        </w:rPr>
        <w:t>rownież</w:t>
      </w:r>
      <w:proofErr w:type="spellEnd"/>
      <w:r w:rsidRPr="00184EB0">
        <w:rPr>
          <w:rFonts w:ascii="Garamond" w:hAnsi="Garamond"/>
          <w:sz w:val="20"/>
          <w:szCs w:val="20"/>
        </w:rPr>
        <w:t xml:space="preserve"> dokumentacja techniczna, certyfikaty oraz warunki świadczenia serwisu gwarancyjnego, dostępna jest na stronie www producenta. </w:t>
      </w:r>
    </w:p>
    <w:p w14:paraId="2298A5BF" w14:textId="5694F89B" w:rsidR="002814E4" w:rsidRPr="002814E4" w:rsidRDefault="00184EB0" w:rsidP="002814E4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184EB0">
        <w:rPr>
          <w:rFonts w:ascii="Garamond" w:hAnsi="Garamond"/>
          <w:b/>
          <w:bCs/>
          <w:sz w:val="20"/>
          <w:szCs w:val="20"/>
        </w:rPr>
        <w:t xml:space="preserve">Odpowiedź : </w:t>
      </w:r>
      <w:r w:rsidR="002814E4" w:rsidRPr="002814E4">
        <w:rPr>
          <w:rFonts w:ascii="Garamond" w:hAnsi="Garamond"/>
          <w:b/>
          <w:bCs/>
          <w:sz w:val="20"/>
          <w:szCs w:val="20"/>
        </w:rPr>
        <w:t xml:space="preserve">Zamawiający rezygnuje z zapisu " Sprzedający dostarczy instrukcje obsługi w języku polskim i opis techniczny w języku polskim, karty gwarancyjne i inne dokumenty służące do wykonania przez Zamawiającego świadczeń gwarancyjnych" </w:t>
      </w:r>
    </w:p>
    <w:p w14:paraId="48AF2AFE" w14:textId="551B44FC" w:rsidR="00184EB0" w:rsidRPr="00184EB0" w:rsidRDefault="00184EB0" w:rsidP="00184EB0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</w:p>
    <w:p w14:paraId="71B2780E" w14:textId="1887E86E" w:rsidR="00184EB0" w:rsidRPr="00184EB0" w:rsidRDefault="00184EB0" w:rsidP="00184EB0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184EB0">
        <w:rPr>
          <w:rFonts w:ascii="Garamond" w:hAnsi="Garamond"/>
          <w:b/>
          <w:bCs/>
          <w:sz w:val="20"/>
          <w:szCs w:val="20"/>
        </w:rPr>
        <w:t>Pytanie nr 10</w:t>
      </w:r>
    </w:p>
    <w:p w14:paraId="680AB9F6" w14:textId="7A7837D0" w:rsidR="00184EB0" w:rsidRPr="00184EB0" w:rsidRDefault="00184EB0" w:rsidP="008A2BDC">
      <w:pPr>
        <w:tabs>
          <w:tab w:val="left" w:pos="2610"/>
        </w:tabs>
        <w:rPr>
          <w:rFonts w:ascii="Garamond" w:hAnsi="Garamond"/>
          <w:sz w:val="20"/>
          <w:szCs w:val="20"/>
        </w:rPr>
      </w:pPr>
      <w:r w:rsidRPr="00184EB0">
        <w:rPr>
          <w:rFonts w:ascii="Garamond" w:hAnsi="Garamond"/>
          <w:sz w:val="20"/>
          <w:szCs w:val="20"/>
        </w:rPr>
        <w:t>pytanie nr 10  do umowy §6.3. W przypadku braku możliwości usunięcia wad lub usterek w przedmiocie zamówienia (co Sprzedający powinien Kupującemu udokumentować), Sprzedający będzie zobowiązany do dostarczenia w terminie 10 dni roboczych, nowego, wolnego od wad przedmiotu objętego zamówieniem. Wnosimy do Zamawiającego o zmianę powyższego zapisu, ze względu na fakt, iż zgodnie z warunkami gwarancji producenta, żaden producent sprzętu komputerowego nie oferuje gwarancji, która obejmowałaby wymianę sprzętu na nowy. Podyktowane jest to aktualnymi trendami technologicznymi. Wysokie normy w zakresie ochrony środowiska determinują, aby sprzęt IT tej klasy konstruowany był w oparciu o architekturę modułową. Oznacza to, że urządzenie pozbawione jest elementów stałych, których uszkodzenie wymagałoby wymiany całej jednostki, co przekłada się na wyraźne ograniczenie generowania niebezpiecznych dla środowiska elektrośmieci. Jednocześnie, z uwagi na ciągły charakter pracy, niemożliwe jest uniknięcie pewnych awarii, będących wynikiem naturalnego zużycia niektórych komponentów. Nie oznacza to jednak wady urządzenia jako całości, a jedynie pojedynczego elementu, po którego wymianie urządzenie wraca do pełnej sprawności. W związku z powyższym wnosimy o modyfikację zapisu w sposób następujący: „</w:t>
      </w:r>
      <w:bookmarkStart w:id="0" w:name="_Hlk203984595"/>
      <w:r w:rsidRPr="006B3DA0">
        <w:rPr>
          <w:rFonts w:ascii="Garamond" w:hAnsi="Garamond"/>
          <w:color w:val="C00000"/>
          <w:sz w:val="20"/>
          <w:szCs w:val="20"/>
        </w:rPr>
        <w:t>W przypadku wydania przez autoryzowany serwis producenta opinii o wadze nieusuwalnej, bądź w razie trzykrotnej naprawy w okresie gwarancji tego samego elementu lub komponentu urządzenia, Wykonawca wymieni element lub komponent urządzenia na nowy, wolny od wad i o tożsamych, bądź wyższych parametrach. Termin na wymianę wynosi maksymalnie 10 dni roboczych od chwili zgłoszenia żądania przez Zamawiającego</w:t>
      </w:r>
      <w:bookmarkEnd w:id="0"/>
      <w:r w:rsidRPr="00184EB0">
        <w:rPr>
          <w:rFonts w:ascii="Garamond" w:hAnsi="Garamond"/>
          <w:sz w:val="20"/>
          <w:szCs w:val="20"/>
        </w:rPr>
        <w:t xml:space="preserve">. </w:t>
      </w:r>
    </w:p>
    <w:p w14:paraId="7092A7C2" w14:textId="00AC4A1E" w:rsidR="0080263A" w:rsidRDefault="00184EB0" w:rsidP="0080263A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184EB0">
        <w:rPr>
          <w:rFonts w:ascii="Garamond" w:hAnsi="Garamond"/>
          <w:b/>
          <w:bCs/>
          <w:sz w:val="20"/>
          <w:szCs w:val="20"/>
        </w:rPr>
        <w:lastRenderedPageBreak/>
        <w:t xml:space="preserve">Odpowiedź : </w:t>
      </w:r>
      <w:r w:rsidR="0080263A">
        <w:rPr>
          <w:rFonts w:ascii="Garamond" w:hAnsi="Garamond"/>
          <w:b/>
          <w:bCs/>
          <w:sz w:val="20"/>
          <w:szCs w:val="20"/>
        </w:rPr>
        <w:t xml:space="preserve"> </w:t>
      </w:r>
      <w:r w:rsidR="0005009C">
        <w:rPr>
          <w:rFonts w:ascii="Garamond" w:hAnsi="Garamond"/>
          <w:b/>
          <w:bCs/>
          <w:sz w:val="20"/>
          <w:szCs w:val="20"/>
        </w:rPr>
        <w:t>patrz zmiana SWZ w tym zakresie. Równocześnie, Zamawiający rozwija pojęcia zakres wsparcia producenta o którym mowa w pkt 22 załącznika nr 1 w Pakiecie nr III</w:t>
      </w:r>
      <w:r w:rsidR="007C0214">
        <w:rPr>
          <w:rFonts w:ascii="Garamond" w:hAnsi="Garamond"/>
          <w:b/>
          <w:bCs/>
          <w:sz w:val="20"/>
          <w:szCs w:val="20"/>
        </w:rPr>
        <w:t xml:space="preserve"> zgodnie z następującym brzmieniem : </w:t>
      </w:r>
    </w:p>
    <w:p w14:paraId="7D87A534" w14:textId="48A156FB" w:rsidR="0080263A" w:rsidRPr="0080263A" w:rsidRDefault="0080263A" w:rsidP="0080263A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80263A">
        <w:rPr>
          <w:rFonts w:ascii="Garamond" w:hAnsi="Garamond"/>
          <w:b/>
          <w:bCs/>
          <w:sz w:val="20"/>
          <w:szCs w:val="20"/>
        </w:rPr>
        <w:t>Specyfikacja wsparcia serwisowego NBD z wymianą części</w:t>
      </w:r>
    </w:p>
    <w:p w14:paraId="57D9B127" w14:textId="77777777" w:rsidR="0080263A" w:rsidRPr="0080263A" w:rsidRDefault="0080263A" w:rsidP="0080263A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80263A">
        <w:rPr>
          <w:rFonts w:ascii="Garamond" w:hAnsi="Garamond"/>
          <w:b/>
          <w:bCs/>
          <w:sz w:val="20"/>
          <w:szCs w:val="20"/>
        </w:rPr>
        <w:t>1. Zakres usługi:</w:t>
      </w:r>
    </w:p>
    <w:p w14:paraId="79696F8C" w14:textId="77777777" w:rsidR="0080263A" w:rsidRPr="0080263A" w:rsidRDefault="0080263A" w:rsidP="0080263A">
      <w:pPr>
        <w:numPr>
          <w:ilvl w:val="0"/>
          <w:numId w:val="9"/>
        </w:num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80263A">
        <w:rPr>
          <w:rFonts w:ascii="Garamond" w:hAnsi="Garamond"/>
          <w:b/>
          <w:bCs/>
          <w:sz w:val="20"/>
          <w:szCs w:val="20"/>
        </w:rPr>
        <w:t>Wsparcie dotyczy sprzętu w konfiguracji zgodnej z dokumentacją producenta i objętego umową serwisową.</w:t>
      </w:r>
    </w:p>
    <w:p w14:paraId="5CE9545B" w14:textId="77777777" w:rsidR="0080263A" w:rsidRPr="0080263A" w:rsidRDefault="0080263A" w:rsidP="0080263A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80263A">
        <w:rPr>
          <w:rFonts w:ascii="Garamond" w:hAnsi="Garamond"/>
          <w:b/>
          <w:bCs/>
          <w:sz w:val="20"/>
          <w:szCs w:val="20"/>
        </w:rPr>
        <w:t>2. Poziom świadczenia (SLA):</w:t>
      </w:r>
    </w:p>
    <w:p w14:paraId="7E5602B1" w14:textId="77777777" w:rsidR="0080263A" w:rsidRPr="006502DB" w:rsidRDefault="0080263A" w:rsidP="0080263A">
      <w:pPr>
        <w:numPr>
          <w:ilvl w:val="0"/>
          <w:numId w:val="10"/>
        </w:numPr>
        <w:tabs>
          <w:tab w:val="left" w:pos="2610"/>
        </w:tabs>
        <w:rPr>
          <w:rFonts w:ascii="Garamond" w:hAnsi="Garamond"/>
          <w:b/>
          <w:bCs/>
          <w:sz w:val="20"/>
          <w:szCs w:val="20"/>
          <w:lang w:val="en-US"/>
        </w:rPr>
      </w:pPr>
      <w:proofErr w:type="spellStart"/>
      <w:r w:rsidRPr="006502DB">
        <w:rPr>
          <w:rFonts w:ascii="Garamond" w:hAnsi="Garamond"/>
          <w:b/>
          <w:bCs/>
          <w:sz w:val="20"/>
          <w:szCs w:val="20"/>
          <w:lang w:val="en-US"/>
        </w:rPr>
        <w:t>Typ</w:t>
      </w:r>
      <w:proofErr w:type="spellEnd"/>
      <w:r w:rsidRPr="006502DB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proofErr w:type="spellStart"/>
      <w:r w:rsidRPr="006502DB">
        <w:rPr>
          <w:rFonts w:ascii="Garamond" w:hAnsi="Garamond"/>
          <w:b/>
          <w:bCs/>
          <w:sz w:val="20"/>
          <w:szCs w:val="20"/>
          <w:lang w:val="en-US"/>
        </w:rPr>
        <w:t>wsparcia</w:t>
      </w:r>
      <w:proofErr w:type="spellEnd"/>
      <w:r w:rsidRPr="006502DB">
        <w:rPr>
          <w:rFonts w:ascii="Garamond" w:hAnsi="Garamond"/>
          <w:b/>
          <w:bCs/>
          <w:sz w:val="20"/>
          <w:szCs w:val="20"/>
          <w:lang w:val="en-US"/>
        </w:rPr>
        <w:t>: Next Business Day On-site Support (NBD).</w:t>
      </w:r>
    </w:p>
    <w:p w14:paraId="534E34B3" w14:textId="77777777" w:rsidR="0080263A" w:rsidRPr="0080263A" w:rsidRDefault="0080263A" w:rsidP="0080263A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80263A">
        <w:rPr>
          <w:rFonts w:ascii="Garamond" w:hAnsi="Garamond"/>
          <w:b/>
          <w:bCs/>
          <w:sz w:val="20"/>
          <w:szCs w:val="20"/>
        </w:rPr>
        <w:t>3. Zakres naprawy:</w:t>
      </w:r>
    </w:p>
    <w:p w14:paraId="1C20FA16" w14:textId="77777777" w:rsidR="0080263A" w:rsidRPr="0080263A" w:rsidRDefault="0080263A" w:rsidP="0080263A">
      <w:pPr>
        <w:numPr>
          <w:ilvl w:val="0"/>
          <w:numId w:val="16"/>
        </w:num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80263A">
        <w:rPr>
          <w:rFonts w:ascii="Garamond" w:hAnsi="Garamond"/>
          <w:b/>
          <w:bCs/>
          <w:sz w:val="20"/>
          <w:szCs w:val="20"/>
        </w:rPr>
        <w:t>Wysyłka wadliwych części sprzętowych lub wymiana na miejscu, zgodnie z preferencją klienta.</w:t>
      </w:r>
    </w:p>
    <w:p w14:paraId="3826D571" w14:textId="77777777" w:rsidR="0080263A" w:rsidRPr="0080263A" w:rsidRDefault="0080263A" w:rsidP="0080263A">
      <w:pPr>
        <w:numPr>
          <w:ilvl w:val="0"/>
          <w:numId w:val="16"/>
        </w:num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80263A">
        <w:rPr>
          <w:rFonts w:ascii="Garamond" w:hAnsi="Garamond"/>
          <w:b/>
          <w:bCs/>
          <w:sz w:val="20"/>
          <w:szCs w:val="20"/>
        </w:rPr>
        <w:t>Klient ma możliwość:</w:t>
      </w:r>
    </w:p>
    <w:p w14:paraId="44D71369" w14:textId="77777777" w:rsidR="0080263A" w:rsidRPr="0080263A" w:rsidRDefault="0080263A" w:rsidP="0080263A">
      <w:pPr>
        <w:numPr>
          <w:ilvl w:val="1"/>
          <w:numId w:val="16"/>
        </w:num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80263A">
        <w:rPr>
          <w:rFonts w:ascii="Garamond" w:hAnsi="Garamond"/>
          <w:b/>
          <w:bCs/>
          <w:sz w:val="20"/>
          <w:szCs w:val="20"/>
        </w:rPr>
        <w:t>(a) samodzielnej wymiany części po ich dostarczeniu (</w:t>
      </w:r>
      <w:proofErr w:type="spellStart"/>
      <w:r w:rsidRPr="0080263A">
        <w:rPr>
          <w:rFonts w:ascii="Garamond" w:hAnsi="Garamond"/>
          <w:b/>
          <w:bCs/>
          <w:sz w:val="20"/>
          <w:szCs w:val="20"/>
        </w:rPr>
        <w:t>Self</w:t>
      </w:r>
      <w:proofErr w:type="spellEnd"/>
      <w:r w:rsidRPr="0080263A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Pr="0080263A">
        <w:rPr>
          <w:rFonts w:ascii="Garamond" w:hAnsi="Garamond"/>
          <w:b/>
          <w:bCs/>
          <w:sz w:val="20"/>
          <w:szCs w:val="20"/>
        </w:rPr>
        <w:t>Replaceable</w:t>
      </w:r>
      <w:proofErr w:type="spellEnd"/>
      <w:r w:rsidRPr="0080263A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Pr="0080263A">
        <w:rPr>
          <w:rFonts w:ascii="Garamond" w:hAnsi="Garamond"/>
          <w:b/>
          <w:bCs/>
          <w:sz w:val="20"/>
          <w:szCs w:val="20"/>
        </w:rPr>
        <w:t>Parts</w:t>
      </w:r>
      <w:proofErr w:type="spellEnd"/>
      <w:r w:rsidRPr="0080263A">
        <w:rPr>
          <w:rFonts w:ascii="Garamond" w:hAnsi="Garamond"/>
          <w:b/>
          <w:bCs/>
          <w:sz w:val="20"/>
          <w:szCs w:val="20"/>
        </w:rPr>
        <w:t>),</w:t>
      </w:r>
    </w:p>
    <w:p w14:paraId="7B4E8057" w14:textId="77777777" w:rsidR="0080263A" w:rsidRDefault="0080263A" w:rsidP="0080263A">
      <w:pPr>
        <w:numPr>
          <w:ilvl w:val="1"/>
          <w:numId w:val="16"/>
        </w:num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80263A">
        <w:rPr>
          <w:rFonts w:ascii="Garamond" w:hAnsi="Garamond"/>
          <w:b/>
          <w:bCs/>
          <w:sz w:val="20"/>
          <w:szCs w:val="20"/>
        </w:rPr>
        <w:t>(b) skorzystania z wymiany przez technika serwisowego na miejscu instalacji sprzętu.</w:t>
      </w:r>
    </w:p>
    <w:p w14:paraId="0F1B9E33" w14:textId="0D9E8CBC" w:rsidR="0080263A" w:rsidRPr="0080263A" w:rsidRDefault="0080263A" w:rsidP="0080263A">
      <w:pPr>
        <w:pStyle w:val="Akapitzlist"/>
        <w:numPr>
          <w:ilvl w:val="0"/>
          <w:numId w:val="16"/>
        </w:num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80263A">
        <w:rPr>
          <w:rFonts w:ascii="Garamond" w:hAnsi="Garamond"/>
          <w:b/>
          <w:bCs/>
          <w:sz w:val="20"/>
          <w:szCs w:val="20"/>
        </w:rPr>
        <w:t>W przypadku niedostępności części, wykonawca zapewni równoważne rozwiązanie (np. urządzenie zastępcze) w tym samym czasie SLA</w:t>
      </w:r>
    </w:p>
    <w:p w14:paraId="2489F63E" w14:textId="311BB5D6" w:rsidR="0080263A" w:rsidRPr="0080263A" w:rsidRDefault="0080263A" w:rsidP="0080263A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80263A">
        <w:rPr>
          <w:rFonts w:ascii="Garamond" w:hAnsi="Garamond"/>
          <w:b/>
          <w:bCs/>
          <w:sz w:val="20"/>
          <w:szCs w:val="20"/>
        </w:rPr>
        <w:t>4. Części objęte wsparciem:</w:t>
      </w:r>
    </w:p>
    <w:p w14:paraId="5BB87087" w14:textId="3C7254FC" w:rsidR="0080263A" w:rsidRPr="0080263A" w:rsidRDefault="000901BB" w:rsidP="0080263A">
      <w:pPr>
        <w:numPr>
          <w:ilvl w:val="0"/>
          <w:numId w:val="12"/>
        </w:num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Min. p</w:t>
      </w:r>
      <w:r w:rsidR="0080263A" w:rsidRPr="0080263A">
        <w:rPr>
          <w:rFonts w:ascii="Garamond" w:hAnsi="Garamond"/>
          <w:b/>
          <w:bCs/>
          <w:sz w:val="20"/>
          <w:szCs w:val="20"/>
        </w:rPr>
        <w:t xml:space="preserve">łyta główna, procesory, pamięci RAM, dyski twarde/SSD, kontrolery RAID, zasilacze, wentylatory, karty sieciowe, </w:t>
      </w:r>
      <w:proofErr w:type="spellStart"/>
      <w:r w:rsidR="0080263A" w:rsidRPr="0080263A">
        <w:rPr>
          <w:rFonts w:ascii="Garamond" w:hAnsi="Garamond"/>
          <w:b/>
          <w:bCs/>
          <w:sz w:val="20"/>
          <w:szCs w:val="20"/>
        </w:rPr>
        <w:t>backplane</w:t>
      </w:r>
      <w:proofErr w:type="spellEnd"/>
      <w:r w:rsidR="0080263A" w:rsidRPr="0080263A">
        <w:rPr>
          <w:rFonts w:ascii="Garamond" w:hAnsi="Garamond"/>
          <w:b/>
          <w:bCs/>
          <w:sz w:val="20"/>
          <w:szCs w:val="20"/>
        </w:rPr>
        <w:t>, kable wewnętrzne, inne elementy konstrukcyjne serwera.</w:t>
      </w:r>
    </w:p>
    <w:p w14:paraId="20DE1EEB" w14:textId="77777777" w:rsidR="0080263A" w:rsidRPr="0080263A" w:rsidRDefault="0080263A" w:rsidP="0080263A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80263A">
        <w:rPr>
          <w:rFonts w:ascii="Garamond" w:hAnsi="Garamond"/>
          <w:b/>
          <w:bCs/>
          <w:sz w:val="20"/>
          <w:szCs w:val="20"/>
        </w:rPr>
        <w:t>5. Czas reakcji i naprawy:</w:t>
      </w:r>
    </w:p>
    <w:p w14:paraId="4701EDCD" w14:textId="77777777" w:rsidR="0080263A" w:rsidRPr="0080263A" w:rsidRDefault="0080263A" w:rsidP="0080263A">
      <w:pPr>
        <w:numPr>
          <w:ilvl w:val="0"/>
          <w:numId w:val="13"/>
        </w:num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80263A">
        <w:rPr>
          <w:rFonts w:ascii="Garamond" w:hAnsi="Garamond"/>
          <w:b/>
          <w:bCs/>
          <w:sz w:val="20"/>
          <w:szCs w:val="20"/>
        </w:rPr>
        <w:t>Czas realizacji: dostarczenie części i wykonanie wymiany – następny dzień roboczy po przyjęciu zgłoszenia i diagnozy.</w:t>
      </w:r>
    </w:p>
    <w:p w14:paraId="300CBD5F" w14:textId="77777777" w:rsidR="0080263A" w:rsidRPr="0080263A" w:rsidRDefault="0080263A" w:rsidP="0080263A">
      <w:pPr>
        <w:numPr>
          <w:ilvl w:val="0"/>
          <w:numId w:val="13"/>
        </w:num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80263A">
        <w:rPr>
          <w:rFonts w:ascii="Garamond" w:hAnsi="Garamond"/>
          <w:b/>
          <w:bCs/>
          <w:sz w:val="20"/>
          <w:szCs w:val="20"/>
        </w:rPr>
        <w:t>SLA dotyczy reakcji i dostawy części/technika, a nie gwarantowanego zakończenia naprawy.</w:t>
      </w:r>
    </w:p>
    <w:p w14:paraId="73C9AE90" w14:textId="77777777" w:rsidR="0080263A" w:rsidRPr="0080263A" w:rsidRDefault="0080263A" w:rsidP="0080263A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80263A">
        <w:rPr>
          <w:rFonts w:ascii="Garamond" w:hAnsi="Garamond"/>
          <w:b/>
          <w:bCs/>
          <w:sz w:val="20"/>
          <w:szCs w:val="20"/>
        </w:rPr>
        <w:t>6. Procedura zgłoszenia:</w:t>
      </w:r>
    </w:p>
    <w:p w14:paraId="1B3ACE57" w14:textId="77777777" w:rsidR="0080263A" w:rsidRPr="0080263A" w:rsidRDefault="0080263A" w:rsidP="0080263A">
      <w:pPr>
        <w:numPr>
          <w:ilvl w:val="0"/>
          <w:numId w:val="14"/>
        </w:num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80263A">
        <w:rPr>
          <w:rFonts w:ascii="Garamond" w:hAnsi="Garamond"/>
          <w:b/>
          <w:bCs/>
          <w:sz w:val="20"/>
          <w:szCs w:val="20"/>
        </w:rPr>
        <w:t>Kanały: telefon, portal serwisowy, e-mail.</w:t>
      </w:r>
    </w:p>
    <w:p w14:paraId="6EE015DE" w14:textId="62DB642C" w:rsidR="00184EB0" w:rsidRPr="00184EB0" w:rsidRDefault="00184EB0" w:rsidP="00184EB0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</w:p>
    <w:p w14:paraId="6B158432" w14:textId="6ADC1D09" w:rsidR="00184EB0" w:rsidRPr="00184EB0" w:rsidRDefault="00184EB0" w:rsidP="00184EB0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184EB0">
        <w:rPr>
          <w:rFonts w:ascii="Garamond" w:hAnsi="Garamond"/>
          <w:b/>
          <w:bCs/>
          <w:sz w:val="20"/>
          <w:szCs w:val="20"/>
        </w:rPr>
        <w:t>Pytanie nr 11</w:t>
      </w:r>
    </w:p>
    <w:p w14:paraId="7DDD7324" w14:textId="54E8B9B6" w:rsidR="00184EB0" w:rsidRPr="00184EB0" w:rsidRDefault="00184EB0" w:rsidP="008A2BDC">
      <w:pPr>
        <w:tabs>
          <w:tab w:val="left" w:pos="2610"/>
        </w:tabs>
        <w:rPr>
          <w:rFonts w:ascii="Garamond" w:hAnsi="Garamond"/>
          <w:sz w:val="20"/>
          <w:szCs w:val="20"/>
        </w:rPr>
      </w:pPr>
      <w:r w:rsidRPr="00184EB0">
        <w:rPr>
          <w:rFonts w:ascii="Garamond" w:hAnsi="Garamond"/>
          <w:sz w:val="20"/>
          <w:szCs w:val="20"/>
        </w:rPr>
        <w:t xml:space="preserve">Pytanie nr 11 §64.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Wnosimy do Zamawiającego o wykreślenie zapisu, ze tego względu, iż zgodnie z warunkami gwarancji producenta, żaden producent sprzętu komputerowego nie oferuje gwarancji, która obejmowałaby realizowanie bezpłatnych przeglądów sprzętu. </w:t>
      </w:r>
    </w:p>
    <w:p w14:paraId="33F5CF42" w14:textId="53CF9D52" w:rsidR="00184EB0" w:rsidRPr="00184EB0" w:rsidRDefault="00184EB0" w:rsidP="00184EB0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184EB0">
        <w:rPr>
          <w:rFonts w:ascii="Garamond" w:hAnsi="Garamond"/>
          <w:b/>
          <w:bCs/>
          <w:sz w:val="20"/>
          <w:szCs w:val="20"/>
        </w:rPr>
        <w:t xml:space="preserve">Odpowiedź : </w:t>
      </w:r>
      <w:r w:rsidR="006B3DA0">
        <w:rPr>
          <w:rFonts w:ascii="Garamond" w:hAnsi="Garamond"/>
          <w:b/>
          <w:bCs/>
          <w:sz w:val="20"/>
          <w:szCs w:val="20"/>
        </w:rPr>
        <w:t>patrz zmiana SWZ w tym zakresie.</w:t>
      </w:r>
    </w:p>
    <w:p w14:paraId="18863C2D" w14:textId="73B95910" w:rsidR="00184EB0" w:rsidRPr="00184EB0" w:rsidRDefault="00184EB0" w:rsidP="00184EB0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184EB0">
        <w:rPr>
          <w:rFonts w:ascii="Garamond" w:hAnsi="Garamond"/>
          <w:b/>
          <w:bCs/>
          <w:sz w:val="20"/>
          <w:szCs w:val="20"/>
        </w:rPr>
        <w:t>Pytanie nr 12</w:t>
      </w:r>
    </w:p>
    <w:p w14:paraId="48A4A240" w14:textId="6ECE2E09" w:rsidR="00184EB0" w:rsidRPr="00184EB0" w:rsidRDefault="00184EB0" w:rsidP="008A2BDC">
      <w:pPr>
        <w:tabs>
          <w:tab w:val="left" w:pos="2610"/>
        </w:tabs>
        <w:rPr>
          <w:rFonts w:ascii="Garamond" w:hAnsi="Garamond"/>
          <w:sz w:val="20"/>
          <w:szCs w:val="20"/>
        </w:rPr>
      </w:pPr>
      <w:r w:rsidRPr="00184EB0">
        <w:rPr>
          <w:rFonts w:ascii="Garamond" w:hAnsi="Garamond"/>
          <w:sz w:val="20"/>
          <w:szCs w:val="20"/>
        </w:rPr>
        <w:lastRenderedPageBreak/>
        <w:t xml:space="preserve">Pytanie nr 12 §6.5.Każda naprawa gwarancyjna przedłuża okres gwarancji o całkowity czas trwania tej naprawy. Wnioskujemy do Zamawiającego o wykreślenie zapisu, z tego względu, iż okres gwarancji na przedmiot zamówienia obowiązuje tylko przez czas, jaki Zamawiający uwzględnił w dokumentacji postępowania. Nie ma możliwości, aby na dany komponent po naprawie, okres gwarancji został przedłużony, ponieważ podzespół ten stanowi składową jednostki. </w:t>
      </w:r>
    </w:p>
    <w:p w14:paraId="6455A128" w14:textId="77777777" w:rsidR="006B3DA0" w:rsidRPr="00184EB0" w:rsidRDefault="006B3DA0" w:rsidP="006B3DA0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184EB0">
        <w:rPr>
          <w:rFonts w:ascii="Garamond" w:hAnsi="Garamond"/>
          <w:b/>
          <w:bCs/>
          <w:sz w:val="20"/>
          <w:szCs w:val="20"/>
        </w:rPr>
        <w:t xml:space="preserve">Odpowiedź : </w:t>
      </w:r>
      <w:r>
        <w:rPr>
          <w:rFonts w:ascii="Garamond" w:hAnsi="Garamond"/>
          <w:b/>
          <w:bCs/>
          <w:sz w:val="20"/>
          <w:szCs w:val="20"/>
        </w:rPr>
        <w:t>patrz zmiana SWZ w tym zakresie.</w:t>
      </w:r>
    </w:p>
    <w:p w14:paraId="177A3B92" w14:textId="4CD0525D" w:rsidR="00184EB0" w:rsidRPr="00184EB0" w:rsidRDefault="00184EB0" w:rsidP="00184EB0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184EB0">
        <w:rPr>
          <w:rFonts w:ascii="Garamond" w:hAnsi="Garamond"/>
          <w:b/>
          <w:bCs/>
          <w:sz w:val="20"/>
          <w:szCs w:val="20"/>
        </w:rPr>
        <w:t>Pytanie nr 13</w:t>
      </w:r>
    </w:p>
    <w:p w14:paraId="30FEDA49" w14:textId="0C5225F6" w:rsidR="008A2BDC" w:rsidRPr="00184EB0" w:rsidRDefault="00184EB0" w:rsidP="008A2BDC">
      <w:pPr>
        <w:tabs>
          <w:tab w:val="left" w:pos="2610"/>
        </w:tabs>
        <w:rPr>
          <w:rFonts w:ascii="Garamond" w:hAnsi="Garamond"/>
          <w:sz w:val="20"/>
          <w:szCs w:val="20"/>
        </w:rPr>
      </w:pPr>
      <w:r w:rsidRPr="00184EB0">
        <w:rPr>
          <w:rFonts w:ascii="Garamond" w:hAnsi="Garamond"/>
          <w:sz w:val="20"/>
          <w:szCs w:val="20"/>
        </w:rPr>
        <w:t>Pytanie nr 13 §11.1.5) 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uzgodnionego(o ile dotyczy), Zgodnie z wyjaśnieniem w pytaniu nr 3 wnosimy do Zamawiającego o wykreślenie zapisu</w:t>
      </w:r>
    </w:p>
    <w:p w14:paraId="55190ED5" w14:textId="5DB6A17E" w:rsidR="00184EB0" w:rsidRDefault="00184EB0" w:rsidP="00184EB0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184EB0">
        <w:rPr>
          <w:rFonts w:ascii="Garamond" w:hAnsi="Garamond"/>
          <w:b/>
          <w:bCs/>
          <w:sz w:val="20"/>
          <w:szCs w:val="20"/>
        </w:rPr>
        <w:t xml:space="preserve">Odpowiedź : </w:t>
      </w:r>
      <w:r w:rsidR="006B3DA0">
        <w:rPr>
          <w:rFonts w:ascii="Garamond" w:hAnsi="Garamond"/>
          <w:b/>
          <w:bCs/>
          <w:sz w:val="20"/>
          <w:szCs w:val="20"/>
        </w:rPr>
        <w:t>patrz zmiana SWZ w tym zakresie.</w:t>
      </w:r>
    </w:p>
    <w:p w14:paraId="76B15988" w14:textId="77777777" w:rsidR="006B3DA0" w:rsidRDefault="006B3DA0" w:rsidP="00184EB0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</w:p>
    <w:p w14:paraId="7193E7B2" w14:textId="37D53207" w:rsidR="00E97545" w:rsidRDefault="00E97545" w:rsidP="00184EB0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Równocześnie Zamawiający zmienia termin składania i otwarcia ofert</w:t>
      </w:r>
    </w:p>
    <w:p w14:paraId="4C354D5D" w14:textId="49533050" w:rsidR="00E97545" w:rsidRDefault="00E97545" w:rsidP="00184EB0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Nowy termin składania ofert do dnia 28.07.2025 roku do godz. 09:00</w:t>
      </w:r>
    </w:p>
    <w:p w14:paraId="6F46E2C3" w14:textId="52E6C399" w:rsidR="00E97545" w:rsidRDefault="00E97545" w:rsidP="00184EB0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Nowy termin otwarcia ofert dnia 28.07.2025 roku godz. 09:30.</w:t>
      </w:r>
    </w:p>
    <w:p w14:paraId="37C37779" w14:textId="77777777" w:rsidR="00E97545" w:rsidRDefault="00E97545" w:rsidP="00184EB0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</w:p>
    <w:p w14:paraId="7319BF58" w14:textId="69EE1687" w:rsidR="006B3DA0" w:rsidRPr="00184EB0" w:rsidRDefault="006B3DA0" w:rsidP="00184EB0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Załącznikiem jest zmodyfikowany SWZ III (na czerwono zmiany)</w:t>
      </w:r>
    </w:p>
    <w:p w14:paraId="13E97353" w14:textId="77777777" w:rsidR="008A2BDC" w:rsidRPr="008A2BDC" w:rsidRDefault="008A2BDC" w:rsidP="008A2BDC">
      <w:pPr>
        <w:spacing w:after="0" w:line="240" w:lineRule="auto"/>
        <w:rPr>
          <w:rFonts w:ascii="Garamond" w:eastAsia="Times New Roman" w:hAnsi="Garamond"/>
          <w:color w:val="000000"/>
          <w:sz w:val="20"/>
          <w:szCs w:val="20"/>
          <w:lang w:eastAsia="pl-PL"/>
        </w:rPr>
      </w:pPr>
    </w:p>
    <w:p w14:paraId="0600CDC1" w14:textId="77777777" w:rsidR="008A2BDC" w:rsidRPr="00184EB0" w:rsidRDefault="008A2BDC" w:rsidP="008A2BDC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</w:p>
    <w:p w14:paraId="20DAB33C" w14:textId="77777777" w:rsidR="00386F4D" w:rsidRPr="00184EB0" w:rsidRDefault="00386F4D" w:rsidP="00386F4D">
      <w:pPr>
        <w:spacing w:after="160"/>
        <w:jc w:val="right"/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</w:pPr>
    </w:p>
    <w:p w14:paraId="4234445E" w14:textId="4EF6BA09" w:rsidR="009E6F3B" w:rsidRPr="00184EB0" w:rsidRDefault="00112460" w:rsidP="00386F4D">
      <w:pPr>
        <w:spacing w:after="160"/>
        <w:jc w:val="right"/>
        <w:rPr>
          <w:rFonts w:ascii="Garamond" w:eastAsiaTheme="minorHAnsi" w:hAnsi="Garamond" w:cstheme="minorBidi"/>
          <w:kern w:val="2"/>
          <w:sz w:val="20"/>
          <w:szCs w:val="20"/>
          <w14:ligatures w14:val="standardContextual"/>
        </w:rPr>
      </w:pPr>
      <w:r w:rsidRPr="00184EB0">
        <w:rPr>
          <w:rFonts w:ascii="Garamond" w:eastAsiaTheme="minorHAnsi" w:hAnsi="Garamond" w:cstheme="minorBidi"/>
          <w:kern w:val="2"/>
          <w:sz w:val="20"/>
          <w:szCs w:val="20"/>
          <w14:ligatures w14:val="standardContextual"/>
        </w:rPr>
        <w:t xml:space="preserve">Z poważaniem, </w:t>
      </w:r>
    </w:p>
    <w:p w14:paraId="77D42564" w14:textId="77777777" w:rsidR="00690EC6" w:rsidRPr="00184EB0" w:rsidRDefault="00690EC6" w:rsidP="00386F4D">
      <w:pPr>
        <w:spacing w:after="160"/>
        <w:rPr>
          <w:rFonts w:ascii="Garamond" w:hAnsi="Garamond"/>
          <w:sz w:val="20"/>
          <w:szCs w:val="20"/>
        </w:rPr>
      </w:pPr>
    </w:p>
    <w:sectPr w:rsidR="00690EC6" w:rsidRPr="00184EB0" w:rsidSect="00C90FD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71674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6FF6B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682AEB"/>
    <w:multiLevelType w:val="multilevel"/>
    <w:tmpl w:val="4D90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C0079"/>
    <w:multiLevelType w:val="multilevel"/>
    <w:tmpl w:val="8D58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65BEC"/>
    <w:multiLevelType w:val="multilevel"/>
    <w:tmpl w:val="58366F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E2AF7"/>
    <w:multiLevelType w:val="multilevel"/>
    <w:tmpl w:val="E5E6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D4B70"/>
    <w:multiLevelType w:val="hybridMultilevel"/>
    <w:tmpl w:val="58C4B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51E08"/>
    <w:multiLevelType w:val="multilevel"/>
    <w:tmpl w:val="9702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B22CE"/>
    <w:multiLevelType w:val="multilevel"/>
    <w:tmpl w:val="0206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07084B"/>
    <w:multiLevelType w:val="multilevel"/>
    <w:tmpl w:val="D08A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7D458A"/>
    <w:multiLevelType w:val="hybridMultilevel"/>
    <w:tmpl w:val="7AEAF5FE"/>
    <w:lvl w:ilvl="0" w:tplc="2928657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E2EC2"/>
    <w:multiLevelType w:val="multilevel"/>
    <w:tmpl w:val="29E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6075E3"/>
    <w:multiLevelType w:val="hybridMultilevel"/>
    <w:tmpl w:val="BE4CFE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669E8"/>
    <w:multiLevelType w:val="hybridMultilevel"/>
    <w:tmpl w:val="3A18F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A1309"/>
    <w:multiLevelType w:val="multilevel"/>
    <w:tmpl w:val="FD74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AC50B8"/>
    <w:multiLevelType w:val="multilevel"/>
    <w:tmpl w:val="D9F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383982">
    <w:abstractNumId w:val="13"/>
  </w:num>
  <w:num w:numId="2" w16cid:durableId="1845633571">
    <w:abstractNumId w:val="0"/>
  </w:num>
  <w:num w:numId="3" w16cid:durableId="682977734">
    <w:abstractNumId w:val="1"/>
  </w:num>
  <w:num w:numId="4" w16cid:durableId="1371492936">
    <w:abstractNumId w:val="12"/>
  </w:num>
  <w:num w:numId="5" w16cid:durableId="553006327">
    <w:abstractNumId w:val="10"/>
  </w:num>
  <w:num w:numId="6" w16cid:durableId="771360983">
    <w:abstractNumId w:val="6"/>
  </w:num>
  <w:num w:numId="7" w16cid:durableId="785583921">
    <w:abstractNumId w:val="2"/>
  </w:num>
  <w:num w:numId="8" w16cid:durableId="1942881525">
    <w:abstractNumId w:val="4"/>
  </w:num>
  <w:num w:numId="9" w16cid:durableId="1463305180">
    <w:abstractNumId w:val="3"/>
  </w:num>
  <w:num w:numId="10" w16cid:durableId="1253317032">
    <w:abstractNumId w:val="15"/>
  </w:num>
  <w:num w:numId="11" w16cid:durableId="1737782756">
    <w:abstractNumId w:val="14"/>
  </w:num>
  <w:num w:numId="12" w16cid:durableId="373963077">
    <w:abstractNumId w:val="5"/>
  </w:num>
  <w:num w:numId="13" w16cid:durableId="1556355306">
    <w:abstractNumId w:val="9"/>
  </w:num>
  <w:num w:numId="14" w16cid:durableId="1952861712">
    <w:abstractNumId w:val="8"/>
  </w:num>
  <w:num w:numId="15" w16cid:durableId="1660649108">
    <w:abstractNumId w:val="7"/>
  </w:num>
  <w:num w:numId="16" w16cid:durableId="4423850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99"/>
    <w:rsid w:val="00046313"/>
    <w:rsid w:val="0005009C"/>
    <w:rsid w:val="00071403"/>
    <w:rsid w:val="000901BB"/>
    <w:rsid w:val="00112460"/>
    <w:rsid w:val="00166025"/>
    <w:rsid w:val="00184EB0"/>
    <w:rsid w:val="002374DD"/>
    <w:rsid w:val="002814E4"/>
    <w:rsid w:val="0031598C"/>
    <w:rsid w:val="0032086D"/>
    <w:rsid w:val="003757D6"/>
    <w:rsid w:val="00386F4D"/>
    <w:rsid w:val="00450199"/>
    <w:rsid w:val="00456F7C"/>
    <w:rsid w:val="004773A4"/>
    <w:rsid w:val="00482375"/>
    <w:rsid w:val="004A20E5"/>
    <w:rsid w:val="00561919"/>
    <w:rsid w:val="00576F80"/>
    <w:rsid w:val="00583140"/>
    <w:rsid w:val="005E52A5"/>
    <w:rsid w:val="00640B65"/>
    <w:rsid w:val="006502DB"/>
    <w:rsid w:val="00690EC6"/>
    <w:rsid w:val="006B3DA0"/>
    <w:rsid w:val="006F6D48"/>
    <w:rsid w:val="00715913"/>
    <w:rsid w:val="00747ACC"/>
    <w:rsid w:val="00791386"/>
    <w:rsid w:val="007A0D2F"/>
    <w:rsid w:val="007C0214"/>
    <w:rsid w:val="007E5742"/>
    <w:rsid w:val="0080263A"/>
    <w:rsid w:val="008217E6"/>
    <w:rsid w:val="008A2BDC"/>
    <w:rsid w:val="0092273C"/>
    <w:rsid w:val="0093608E"/>
    <w:rsid w:val="00943BC4"/>
    <w:rsid w:val="00964CD5"/>
    <w:rsid w:val="009E6F3B"/>
    <w:rsid w:val="00A37ABD"/>
    <w:rsid w:val="00AF68B2"/>
    <w:rsid w:val="00B1652C"/>
    <w:rsid w:val="00B40DA3"/>
    <w:rsid w:val="00BA2012"/>
    <w:rsid w:val="00BC50BE"/>
    <w:rsid w:val="00C019BC"/>
    <w:rsid w:val="00C74A14"/>
    <w:rsid w:val="00C83C5F"/>
    <w:rsid w:val="00C90FDF"/>
    <w:rsid w:val="00DF0DC6"/>
    <w:rsid w:val="00E1387A"/>
    <w:rsid w:val="00E97545"/>
    <w:rsid w:val="00F5652B"/>
    <w:rsid w:val="00F62B6A"/>
    <w:rsid w:val="00FB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4317"/>
  <w15:chartTrackingRefBased/>
  <w15:docId w15:val="{F96B4697-224B-4DE9-BCB4-10E86E17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19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0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0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0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0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0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01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1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1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1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1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1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0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0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0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0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0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01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01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01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0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01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0199"/>
    <w:rPr>
      <w:b/>
      <w:bCs/>
      <w:smallCaps/>
      <w:color w:val="0F4761" w:themeColor="accent1" w:themeShade="BF"/>
      <w:spacing w:val="5"/>
    </w:rPr>
  </w:style>
  <w:style w:type="paragraph" w:customStyle="1" w:styleId="ZnakZnakZnak">
    <w:name w:val="Znak Znak Znak"/>
    <w:basedOn w:val="Normalny"/>
    <w:rsid w:val="0016602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13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E1387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E1387A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kern w:val="0"/>
      <w:lang w:eastAsia="pl-PL"/>
      <w14:ligatures w14:val="none"/>
    </w:rPr>
  </w:style>
  <w:style w:type="paragraph" w:customStyle="1" w:styleId="ZnakZnak0">
    <w:name w:val="Znak Znak"/>
    <w:basedOn w:val="Normalny"/>
    <w:rsid w:val="00F565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1">
    <w:name w:val="Znak Znak"/>
    <w:basedOn w:val="Normalny"/>
    <w:rsid w:val="0032086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208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2086D"/>
    <w:rPr>
      <w:rFonts w:ascii="Consolas" w:eastAsia="Calibri" w:hAnsi="Consolas" w:cs="Times New Roman"/>
      <w:kern w:val="0"/>
      <w:sz w:val="20"/>
      <w:szCs w:val="20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814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814E4"/>
    <w:rPr>
      <w:rFonts w:ascii="Consolas" w:eastAsia="Calibri" w:hAnsi="Consolas" w:cs="Times New Roman"/>
      <w:kern w:val="0"/>
      <w:sz w:val="21"/>
      <w:szCs w:val="21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3D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3D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3DA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3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3DA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2082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24wszk23</dc:creator>
  <cp:keywords/>
  <dc:description/>
  <cp:lastModifiedBy>24wszk23</cp:lastModifiedBy>
  <cp:revision>2</cp:revision>
  <cp:lastPrinted>2025-02-11T14:43:00Z</cp:lastPrinted>
  <dcterms:created xsi:type="dcterms:W3CDTF">2025-07-22T09:15:00Z</dcterms:created>
  <dcterms:modified xsi:type="dcterms:W3CDTF">2025-07-22T09:15:00Z</dcterms:modified>
</cp:coreProperties>
</file>