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AED45" w14:textId="5D468117" w:rsidR="00B532F0" w:rsidRDefault="00800960" w:rsidP="003B2045">
      <w:pPr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9E0662">
        <w:rPr>
          <w:rFonts w:ascii="Garamond" w:hAnsi="Garamond"/>
          <w:sz w:val="20"/>
          <w:szCs w:val="20"/>
        </w:rPr>
        <w:t>2</w:t>
      </w:r>
      <w:r w:rsidR="008B7CE9">
        <w:rPr>
          <w:rFonts w:ascii="Garamond" w:hAnsi="Garamond"/>
          <w:sz w:val="20"/>
          <w:szCs w:val="20"/>
        </w:rPr>
        <w:t>8</w:t>
      </w:r>
      <w:r w:rsidRPr="00800960">
        <w:rPr>
          <w:rFonts w:ascii="Garamond" w:hAnsi="Garamond"/>
          <w:sz w:val="20"/>
          <w:szCs w:val="20"/>
        </w:rPr>
        <w:t>.</w:t>
      </w:r>
      <w:r w:rsidR="00B532F0">
        <w:rPr>
          <w:rFonts w:ascii="Garamond" w:hAnsi="Garamond"/>
          <w:sz w:val="20"/>
          <w:szCs w:val="20"/>
        </w:rPr>
        <w:t>1</w:t>
      </w:r>
      <w:r w:rsidR="003B2045">
        <w:rPr>
          <w:rFonts w:ascii="Garamond" w:hAnsi="Garamond"/>
          <w:sz w:val="20"/>
          <w:szCs w:val="20"/>
        </w:rPr>
        <w:t>1</w:t>
      </w:r>
      <w:r w:rsidRPr="00800960">
        <w:rPr>
          <w:rFonts w:ascii="Garamond" w:hAnsi="Garamond"/>
          <w:sz w:val="20"/>
          <w:szCs w:val="20"/>
        </w:rPr>
        <w:t>.202</w:t>
      </w:r>
      <w:r>
        <w:rPr>
          <w:rFonts w:ascii="Garamond" w:hAnsi="Garamond"/>
          <w:sz w:val="20"/>
          <w:szCs w:val="20"/>
        </w:rPr>
        <w:t>4</w:t>
      </w:r>
      <w:r w:rsidRPr="00800960">
        <w:rPr>
          <w:rFonts w:ascii="Garamond" w:hAnsi="Garamond"/>
          <w:sz w:val="20"/>
          <w:szCs w:val="20"/>
        </w:rPr>
        <w:t xml:space="preserve"> roku       </w:t>
      </w:r>
    </w:p>
    <w:p w14:paraId="4B0BCB48" w14:textId="0A88CA06" w:rsid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C65548E" w14:textId="11C19A32" w:rsidR="00800960" w:rsidRDefault="00800960" w:rsidP="003E28D3">
      <w:pPr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3E28D3">
        <w:rPr>
          <w:rFonts w:ascii="Garamond" w:hAnsi="Garamond"/>
          <w:sz w:val="20"/>
          <w:szCs w:val="20"/>
          <w:u w:val="single"/>
        </w:rPr>
        <w:t xml:space="preserve"> II</w:t>
      </w:r>
    </w:p>
    <w:p w14:paraId="22C78133" w14:textId="7F9B3A91" w:rsidR="00800960" w:rsidRPr="003408CB" w:rsidRDefault="00800960" w:rsidP="00800960">
      <w:pPr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3408CB">
        <w:rPr>
          <w:rFonts w:ascii="Garamond" w:hAnsi="Garamond"/>
          <w:b/>
          <w:sz w:val="20"/>
          <w:szCs w:val="20"/>
        </w:rPr>
        <w:t>2</w:t>
      </w:r>
      <w:r w:rsidR="009E0662">
        <w:rPr>
          <w:rFonts w:ascii="Garamond" w:hAnsi="Garamond"/>
          <w:b/>
          <w:sz w:val="20"/>
          <w:szCs w:val="20"/>
        </w:rPr>
        <w:t>4</w:t>
      </w:r>
      <w:r w:rsidR="008B7CE9">
        <w:rPr>
          <w:rFonts w:ascii="Garamond" w:hAnsi="Garamond"/>
          <w:b/>
          <w:sz w:val="20"/>
          <w:szCs w:val="20"/>
        </w:rPr>
        <w:t>1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790ED4">
        <w:rPr>
          <w:rFonts w:ascii="Garamond" w:hAnsi="Garamond"/>
          <w:b/>
          <w:sz w:val="20"/>
          <w:szCs w:val="20"/>
        </w:rPr>
        <w:t>4</w:t>
      </w:r>
    </w:p>
    <w:p w14:paraId="51283917" w14:textId="058CD694" w:rsidR="00800960" w:rsidRPr="00800960" w:rsidRDefault="00800960" w:rsidP="00800960">
      <w:pPr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57EC0796" w14:textId="26692E34" w:rsidR="003B2045" w:rsidRDefault="00800960" w:rsidP="00800960">
      <w:pPr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8B7CE9" w:rsidRPr="00ED536B">
        <w:rPr>
          <w:rFonts w:ascii="Garamond" w:hAnsi="Garamond"/>
          <w:b/>
          <w:bCs/>
          <w:sz w:val="20"/>
          <w:szCs w:val="20"/>
        </w:rPr>
        <w:t>DOSTAWY LEK</w:t>
      </w:r>
      <w:r w:rsidR="008B7CE9">
        <w:rPr>
          <w:rFonts w:ascii="Garamond" w:hAnsi="Garamond"/>
          <w:b/>
          <w:bCs/>
          <w:sz w:val="20"/>
          <w:szCs w:val="20"/>
        </w:rPr>
        <w:t>ÓW CHEMIOTERAPIA</w:t>
      </w:r>
      <w:r w:rsidR="009E0662" w:rsidRPr="00800960">
        <w:rPr>
          <w:rFonts w:ascii="Garamond" w:hAnsi="Garamond"/>
          <w:sz w:val="20"/>
          <w:szCs w:val="20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wpłynęły pytania. Treść pytań, wraz z odpowiedziami na nie przedstawiam poniżej:</w:t>
      </w:r>
    </w:p>
    <w:p w14:paraId="172FA053" w14:textId="77777777" w:rsidR="008B7CE9" w:rsidRPr="003408CB" w:rsidRDefault="008B7CE9" w:rsidP="00800960">
      <w:pPr>
        <w:jc w:val="both"/>
        <w:rPr>
          <w:rFonts w:ascii="Garamond" w:hAnsi="Garamond"/>
          <w:sz w:val="20"/>
          <w:szCs w:val="20"/>
        </w:rPr>
      </w:pPr>
    </w:p>
    <w:p w14:paraId="2939E6B0" w14:textId="2E9711D5" w:rsidR="008B7CE9" w:rsidRPr="00D545EB" w:rsidRDefault="00800960" w:rsidP="00D545EB">
      <w:pPr>
        <w:spacing w:line="240" w:lineRule="auto"/>
        <w:rPr>
          <w:rFonts w:ascii="Garamond" w:hAnsi="Garamond"/>
          <w:b/>
          <w:sz w:val="20"/>
          <w:szCs w:val="20"/>
          <w:u w:val="single"/>
        </w:rPr>
      </w:pPr>
      <w:bookmarkStart w:id="0" w:name="_Hlk183521628"/>
      <w:r w:rsidRPr="00DA5651">
        <w:rPr>
          <w:rFonts w:ascii="Garamond" w:hAnsi="Garamond"/>
          <w:b/>
          <w:sz w:val="20"/>
          <w:szCs w:val="20"/>
          <w:u w:val="single"/>
        </w:rPr>
        <w:t>Pytanie 1</w:t>
      </w:r>
      <w:r w:rsidR="00C47D15" w:rsidRPr="00DA5651">
        <w:rPr>
          <w:rFonts w:ascii="Garamond" w:hAnsi="Garamond"/>
          <w:b/>
          <w:sz w:val="20"/>
          <w:szCs w:val="20"/>
          <w:u w:val="single"/>
        </w:rPr>
        <w:t>:</w:t>
      </w:r>
      <w:r w:rsidR="003408CB" w:rsidRPr="003408CB">
        <w:rPr>
          <w:rFonts w:ascii="Garamond" w:eastAsia="Times New Roman" w:hAnsi="Garamond" w:cs="Arial"/>
          <w:bCs/>
          <w:sz w:val="20"/>
          <w:szCs w:val="20"/>
          <w:lang w:eastAsia="pl-PL"/>
        </w:rPr>
        <w:br/>
      </w:r>
      <w:bookmarkEnd w:id="0"/>
      <w:r w:rsidR="008B7CE9" w:rsidRPr="008B7CE9">
        <w:rPr>
          <w:rFonts w:ascii="Garamond" w:hAnsi="Garamond"/>
          <w:sz w:val="20"/>
          <w:szCs w:val="20"/>
          <w:u w:val="single"/>
        </w:rPr>
        <w:t>Do §2 ust. 7 wzoru umowy</w:t>
      </w:r>
      <w:r w:rsidR="008B7CE9" w:rsidRPr="008B7CE9">
        <w:rPr>
          <w:rFonts w:ascii="Garamond" w:hAnsi="Garamond"/>
          <w:sz w:val="20"/>
          <w:szCs w:val="20"/>
        </w:rPr>
        <w:t>: Prosimy o modyfikację treści §2 ust. 7 poprzez skonkretyzowanie granicznych wartości dla poszczególnych pozycji asortymentowych, jakie Zamawiający zamierza zrealizować, np. poprzez podanie, że zmiany ilości poszczególnych produktów określonych w formularzu asortymentowo – cenowym mogą ulec zmniejszeniu lub zwiększeniu w granicach +/- 20%, przy czym przez takie sformułowanie Zamawiający będzie rozumiał możliwość zamówienia o 20% mniejszych lub o 20% większych ilości, każdego z zamówionych asortymentów. Zastrzeżenie bowiem „Ilości poszczególnych rodzajów towaru w opisie przedmiotu zamówienia mają charakter szacunkowy i orientacyjny. Kupujący zastrzega sobie możliwość zmiany przyjętych w umowie ilości, stosownie do swoich potrzeb.” w praktyce oznaczać może, że jedne z wycenianych pozycji mogą nie ulec zwiększeniu wcale, natomiast inne o niczym nieograniczoną ilość. Aktualna treść §2 ust. 5 wzoru umowy jest na tyle ogólna i nieprecyzyjna, że na jej podstawie wykonawcy nie są w stanie określić faktycznej wielkości przedmiotu zamówienia w zakresie jego poszczególnych pozycji asortymentowych, a tym samym nie są w stanie dokonać prawidłowej kalkulacji cen na potrzeby składanej oferty.</w:t>
      </w:r>
      <w:r w:rsidR="008B7CE9" w:rsidRPr="008B7CE9">
        <w:rPr>
          <w:rFonts w:ascii="Garamond" w:hAnsi="Garamond" w:cstheme="minorHAnsi"/>
          <w:b/>
          <w:bCs/>
          <w:sz w:val="20"/>
          <w:szCs w:val="20"/>
        </w:rPr>
        <w:t xml:space="preserve"> </w:t>
      </w:r>
    </w:p>
    <w:p w14:paraId="096C9487" w14:textId="1703E41F" w:rsidR="003B2045" w:rsidRDefault="007C771C" w:rsidP="008B7CE9">
      <w:pPr>
        <w:spacing w:line="240" w:lineRule="auto"/>
        <w:rPr>
          <w:rFonts w:ascii="Garamond" w:hAnsi="Garamond" w:cstheme="minorHAnsi"/>
          <w:b/>
          <w:bCs/>
          <w:sz w:val="20"/>
          <w:szCs w:val="20"/>
        </w:rPr>
      </w:pPr>
      <w:r w:rsidRPr="003408CB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3B2045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D545EB">
        <w:rPr>
          <w:rFonts w:ascii="Garamond" w:hAnsi="Garamond" w:cstheme="minorHAnsi"/>
          <w:b/>
          <w:bCs/>
          <w:sz w:val="20"/>
          <w:szCs w:val="20"/>
        </w:rPr>
        <w:t>Nie.</w:t>
      </w:r>
    </w:p>
    <w:p w14:paraId="331B1B3F" w14:textId="77777777" w:rsidR="008B7CE9" w:rsidRPr="001347D4" w:rsidRDefault="008B7CE9" w:rsidP="008B7CE9">
      <w:pPr>
        <w:spacing w:line="240" w:lineRule="auto"/>
        <w:rPr>
          <w:rFonts w:ascii="Garamond" w:hAnsi="Garamond" w:cstheme="minorHAnsi"/>
          <w:b/>
          <w:bCs/>
          <w:sz w:val="20"/>
          <w:szCs w:val="20"/>
        </w:rPr>
      </w:pPr>
    </w:p>
    <w:p w14:paraId="120E2F19" w14:textId="28EFEC8C" w:rsidR="009E0662" w:rsidRPr="008B7CE9" w:rsidRDefault="00C47D15" w:rsidP="00D545EB">
      <w:pPr>
        <w:spacing w:after="200" w:line="276" w:lineRule="auto"/>
        <w:rPr>
          <w:rFonts w:ascii="Garamond" w:hAnsi="Garamond" w:cstheme="minorHAnsi"/>
          <w:b/>
          <w:bCs/>
          <w:sz w:val="20"/>
          <w:szCs w:val="20"/>
          <w:u w:val="single"/>
        </w:rPr>
      </w:pPr>
      <w:bookmarkStart w:id="1" w:name="_Hlk179369212"/>
      <w:r w:rsidRPr="00A50AD7">
        <w:rPr>
          <w:rFonts w:ascii="Garamond" w:hAnsi="Garamond" w:cstheme="minorHAnsi"/>
          <w:b/>
          <w:bCs/>
          <w:sz w:val="20"/>
          <w:szCs w:val="20"/>
          <w:u w:val="single"/>
        </w:rPr>
        <w:t>Pytanie 2</w:t>
      </w:r>
      <w:r w:rsidRPr="00790ED4">
        <w:rPr>
          <w:rFonts w:ascii="Garamond" w:hAnsi="Garamond" w:cstheme="minorHAnsi"/>
          <w:b/>
          <w:bCs/>
          <w:sz w:val="20"/>
          <w:szCs w:val="20"/>
          <w:u w:val="single"/>
        </w:rPr>
        <w:t>:</w:t>
      </w:r>
      <w:bookmarkEnd w:id="1"/>
      <w:r w:rsidR="003408CB" w:rsidRPr="003408CB">
        <w:rPr>
          <w:rFonts w:ascii="Garamond" w:eastAsia="Times New Roman" w:hAnsi="Garamond" w:cs="Arial"/>
          <w:bCs/>
          <w:sz w:val="20"/>
          <w:szCs w:val="20"/>
          <w:lang w:eastAsia="pl-PL"/>
        </w:rPr>
        <w:br/>
      </w:r>
      <w:bookmarkStart w:id="2" w:name="_Hlk179369162"/>
      <w:r w:rsidR="008B7CE9" w:rsidRPr="008B7CE9">
        <w:rPr>
          <w:rFonts w:ascii="Garamond" w:hAnsi="Garamond"/>
          <w:sz w:val="20"/>
          <w:szCs w:val="20"/>
          <w:u w:val="single"/>
        </w:rPr>
        <w:t>Do §5 ust. 1 wzoru umowy</w:t>
      </w:r>
      <w:r w:rsidR="008B7CE9" w:rsidRPr="008B7CE9">
        <w:rPr>
          <w:rFonts w:ascii="Garamond" w:hAnsi="Garamond"/>
          <w:sz w:val="20"/>
          <w:szCs w:val="20"/>
        </w:rPr>
        <w:t>: Skoro Zamawiający przewiduje dostawy sukcesywne, zgodne z bieżącym zapotrzebowaniem, czyli nie przewiduje konieczności dłuższego przechowywania zamówionych produktów w magazynie apteki szpitalnej, to dlaczego wyznacza warunek 12-miesięcznego okresu ważności zamówionych towarów? Wskazujemy przy tym, że zgodnie z Prawem farmaceutycznym produkty lecznicze do ostatniego dnia terminu ważności są pełnowartościowe i dopuszczone do obrotu. W związku z powyższym prosimy o dopisanie do §5 ust. 1 projektu umowy następującej treści: "</w:t>
      </w:r>
      <w:bookmarkStart w:id="3" w:name="_Hlk183681250"/>
      <w:r w:rsidR="008B7CE9" w:rsidRPr="008B7CE9">
        <w:rPr>
          <w:rFonts w:ascii="Garamond" w:hAnsi="Garamond"/>
          <w:sz w:val="20"/>
          <w:szCs w:val="20"/>
        </w:rPr>
        <w:t>Dostawy produktów z krótszym terminem ważności mogą być dopuszczone w wyjątkowych sytuacjach i każdorazowo zgodę na nie musi wyrazić upoważniony przedstawiciel Zamawiającego.</w:t>
      </w:r>
      <w:bookmarkEnd w:id="3"/>
      <w:r w:rsidR="008B7CE9" w:rsidRPr="008B7CE9">
        <w:rPr>
          <w:rFonts w:ascii="Garamond" w:hAnsi="Garamond"/>
          <w:sz w:val="20"/>
          <w:szCs w:val="20"/>
        </w:rPr>
        <w:t>".</w:t>
      </w:r>
    </w:p>
    <w:p w14:paraId="07D9B8BD" w14:textId="30B4BA3C" w:rsidR="008B7CE9" w:rsidRDefault="00C47D15" w:rsidP="00D545EB">
      <w:pPr>
        <w:rPr>
          <w:rFonts w:ascii="Garamond" w:hAnsi="Garamond"/>
          <w:sz w:val="20"/>
          <w:szCs w:val="20"/>
        </w:rPr>
      </w:pPr>
      <w:r w:rsidRPr="00A50AD7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A23899" w:rsidRPr="00A50AD7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D545EB" w:rsidRPr="00436632">
        <w:rPr>
          <w:rFonts w:ascii="Garamond" w:hAnsi="Garamond"/>
          <w:b/>
          <w:bCs/>
          <w:sz w:val="20"/>
          <w:szCs w:val="20"/>
        </w:rPr>
        <w:t xml:space="preserve">Zamawiający wyraża zgodę, patrz </w:t>
      </w:r>
      <w:r w:rsidR="00D545EB">
        <w:rPr>
          <w:rFonts w:ascii="Garamond" w:hAnsi="Garamond"/>
          <w:b/>
          <w:bCs/>
          <w:sz w:val="20"/>
          <w:szCs w:val="20"/>
        </w:rPr>
        <w:t>Zmodyfikowane Zapytanie Ofertowe</w:t>
      </w:r>
      <w:r w:rsidR="00D545EB" w:rsidRPr="00436632">
        <w:rPr>
          <w:rFonts w:ascii="Garamond" w:hAnsi="Garamond"/>
          <w:b/>
          <w:bCs/>
          <w:sz w:val="20"/>
          <w:szCs w:val="20"/>
        </w:rPr>
        <w:t xml:space="preserve"> w tym zakresie. </w:t>
      </w:r>
    </w:p>
    <w:p w14:paraId="1CE3B5AE" w14:textId="77777777" w:rsidR="00D545EB" w:rsidRPr="00D545EB" w:rsidRDefault="00D545EB" w:rsidP="00D545EB">
      <w:pPr>
        <w:rPr>
          <w:rFonts w:ascii="Garamond" w:hAnsi="Garamond"/>
          <w:sz w:val="20"/>
          <w:szCs w:val="20"/>
        </w:rPr>
      </w:pPr>
    </w:p>
    <w:p w14:paraId="3D3412CD" w14:textId="66BD94F2" w:rsidR="008B7CE9" w:rsidRPr="00D545EB" w:rsidRDefault="009E0662" w:rsidP="00D545EB">
      <w:pPr>
        <w:spacing w:after="200" w:line="276" w:lineRule="auto"/>
        <w:rPr>
          <w:rFonts w:ascii="Garamond" w:hAnsi="Garamond"/>
          <w:b/>
          <w:sz w:val="20"/>
          <w:szCs w:val="20"/>
          <w:u w:val="single"/>
        </w:rPr>
      </w:pPr>
      <w:r w:rsidRPr="00DA5651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04781C">
        <w:rPr>
          <w:rFonts w:ascii="Garamond" w:hAnsi="Garamond"/>
          <w:b/>
          <w:sz w:val="20"/>
          <w:szCs w:val="20"/>
          <w:u w:val="single"/>
        </w:rPr>
        <w:t>3</w:t>
      </w:r>
      <w:r w:rsidRPr="00DA5651">
        <w:rPr>
          <w:rFonts w:ascii="Garamond" w:hAnsi="Garamond"/>
          <w:b/>
          <w:sz w:val="20"/>
          <w:szCs w:val="20"/>
          <w:u w:val="single"/>
        </w:rPr>
        <w:t>:</w:t>
      </w:r>
      <w:r w:rsidRPr="003408CB">
        <w:rPr>
          <w:rFonts w:ascii="Garamond" w:eastAsia="Times New Roman" w:hAnsi="Garamond" w:cs="Arial"/>
          <w:bCs/>
          <w:sz w:val="20"/>
          <w:szCs w:val="20"/>
          <w:lang w:eastAsia="pl-PL"/>
        </w:rPr>
        <w:br/>
      </w:r>
      <w:bookmarkEnd w:id="2"/>
      <w:r w:rsidR="008B7CE9" w:rsidRPr="008B7CE9">
        <w:rPr>
          <w:rFonts w:ascii="Garamond" w:hAnsi="Garamond"/>
          <w:sz w:val="20"/>
          <w:szCs w:val="20"/>
          <w:u w:val="single"/>
        </w:rPr>
        <w:t>Do §7 ust. 4 lit. a) wzoru umowy</w:t>
      </w:r>
      <w:r w:rsidR="008B7CE9" w:rsidRPr="008B7CE9">
        <w:rPr>
          <w:rFonts w:ascii="Garamond" w:hAnsi="Garamond"/>
          <w:sz w:val="20"/>
          <w:szCs w:val="20"/>
        </w:rPr>
        <w:t xml:space="preserve">: Czy Zamawiający wyrazi zgodę na zmianę §7 ust. 4 lit. a) Umowy o treści: „na koszt i ryzyko Sprzedającego” na zdanie następujące: „Różnicą w cenie zakupu interwencyjnego partii asortymentu, którego dotyczy zwłoka, Kupujący obciąży Sprzedawcę” Wykonawca wyjaśnia, że wyżej wskazane postanowienie pozostaje niezgodne z przepisami prawa, z utrwaloną doktryną i judykaturą. Zamawiający zastrzega sobie bowiem prawo do obciążenia Sprzedawcy pełnymi kosztami zakupu interwencyjnego, co w konsekwencji prowadzi do wypaczenia jego ustawowego uprawnienia. Przepis art. 479 k.c. uprawnia wierzyciela, w razie zwłoki dłużnika do nabycia na jego rzecz rzeczy tego samego gatunku, jednak z zastrzeżeniem, że „wierzyciel może żądać zwrotu kosztów nabycia zastępczego od dłużnika, a zarazem nie jest uprawniony do zapłaty dłużnikowi swojego świadczenia, prowadziłby do niesłusznego </w:t>
      </w:r>
      <w:r w:rsidR="008B7CE9" w:rsidRPr="008B7CE9">
        <w:rPr>
          <w:rFonts w:ascii="Garamond" w:hAnsi="Garamond"/>
          <w:sz w:val="20"/>
          <w:szCs w:val="20"/>
        </w:rPr>
        <w:lastRenderedPageBreak/>
        <w:t xml:space="preserve">wzbogacenia tego wierzyciela.” (Kodeks cywilny, Komentarz, J.M. Kondek, red. K. </w:t>
      </w:r>
      <w:proofErr w:type="spellStart"/>
      <w:r w:rsidR="008B7CE9" w:rsidRPr="008B7CE9">
        <w:rPr>
          <w:rFonts w:ascii="Garamond" w:hAnsi="Garamond"/>
          <w:sz w:val="20"/>
          <w:szCs w:val="20"/>
        </w:rPr>
        <w:t>Osajda</w:t>
      </w:r>
      <w:proofErr w:type="spellEnd"/>
      <w:r w:rsidR="008B7CE9" w:rsidRPr="008B7CE9">
        <w:rPr>
          <w:rFonts w:ascii="Garamond" w:hAnsi="Garamond"/>
          <w:sz w:val="20"/>
          <w:szCs w:val="20"/>
        </w:rPr>
        <w:t xml:space="preserve">, 2021 r.). Powyższe konsekwentnie potwierdza judykatura- Sąd Apelacyjny w wyroku z dnia 5 sierpnia 2016 r., sygn. akt: I </w:t>
      </w:r>
      <w:proofErr w:type="spellStart"/>
      <w:r w:rsidR="008B7CE9" w:rsidRPr="008B7CE9">
        <w:rPr>
          <w:rFonts w:ascii="Garamond" w:hAnsi="Garamond"/>
          <w:sz w:val="20"/>
          <w:szCs w:val="20"/>
        </w:rPr>
        <w:t>ACa</w:t>
      </w:r>
      <w:proofErr w:type="spellEnd"/>
      <w:r w:rsidR="008B7CE9" w:rsidRPr="008B7CE9">
        <w:rPr>
          <w:rFonts w:ascii="Garamond" w:hAnsi="Garamond"/>
          <w:sz w:val="20"/>
          <w:szCs w:val="20"/>
        </w:rPr>
        <w:t xml:space="preserve"> 322/16 wskazał, że: „Jeżeli nabycie rzeczy wynika z umowy wzajemnej, to po zrealizowaniu go przez wierzyciela, obowiązek dłużnika dotyczy kosztów nabycia, pomniejszonych o cenę, do której uregulowania zobowiązany byłby wierzyciel. Sąd Apelacyjny w Krakowie w kolejnym wyroku podsumował, że „Roszczenie o zapłatę kosztów, o jakich mowa w art. 479 KC, ma charakter odszkodowawczy. Odliczenie zaś od kosztów zakupu zastępczego ceny uzgodnionej między stronami stanowi uwzględnienie zasady </w:t>
      </w:r>
      <w:proofErr w:type="spellStart"/>
      <w:r w:rsidR="008B7CE9" w:rsidRPr="008B7CE9">
        <w:rPr>
          <w:rFonts w:ascii="Garamond" w:hAnsi="Garamond"/>
          <w:sz w:val="20"/>
          <w:szCs w:val="20"/>
        </w:rPr>
        <w:t>compensatio</w:t>
      </w:r>
      <w:proofErr w:type="spellEnd"/>
      <w:r w:rsidR="008B7CE9" w:rsidRPr="008B7CE9">
        <w:rPr>
          <w:rFonts w:ascii="Garamond" w:hAnsi="Garamond"/>
          <w:sz w:val="20"/>
          <w:szCs w:val="20"/>
        </w:rPr>
        <w:t xml:space="preserve"> </w:t>
      </w:r>
      <w:proofErr w:type="spellStart"/>
      <w:r w:rsidR="008B7CE9" w:rsidRPr="008B7CE9">
        <w:rPr>
          <w:rFonts w:ascii="Garamond" w:hAnsi="Garamond"/>
          <w:sz w:val="20"/>
          <w:szCs w:val="20"/>
        </w:rPr>
        <w:t>lucri</w:t>
      </w:r>
      <w:proofErr w:type="spellEnd"/>
      <w:r w:rsidR="008B7CE9" w:rsidRPr="008B7CE9">
        <w:rPr>
          <w:rFonts w:ascii="Garamond" w:hAnsi="Garamond"/>
          <w:sz w:val="20"/>
          <w:szCs w:val="20"/>
        </w:rPr>
        <w:t xml:space="preserve"> cum damno, gdyż stanowi uwzględnienie tego, co wierzyciel zaoszczędził nie świadcząc stronie pozwanej.” (wyrok z dnia 19 lutego 2020 r., sygn. akt: I </w:t>
      </w:r>
      <w:proofErr w:type="spellStart"/>
      <w:r w:rsidR="008B7CE9" w:rsidRPr="008B7CE9">
        <w:rPr>
          <w:rFonts w:ascii="Garamond" w:hAnsi="Garamond"/>
          <w:sz w:val="20"/>
          <w:szCs w:val="20"/>
        </w:rPr>
        <w:t>AGa</w:t>
      </w:r>
      <w:proofErr w:type="spellEnd"/>
      <w:r w:rsidR="008B7CE9" w:rsidRPr="008B7CE9">
        <w:rPr>
          <w:rFonts w:ascii="Garamond" w:hAnsi="Garamond"/>
          <w:sz w:val="20"/>
          <w:szCs w:val="20"/>
        </w:rPr>
        <w:t xml:space="preserve"> 29/19). Mając na uwadze powyższe, w celu wyeliminowania ryzyka nieważności (z uwagi na wprowadzenie do umowy niezgodnego z przepisami prawa postanowienia), Wykonawca zwraca się z wnioskiem o zmianę ww. zapisu jak powyżej.</w:t>
      </w:r>
      <w:r w:rsidR="008B7CE9" w:rsidRPr="003408CB">
        <w:rPr>
          <w:rFonts w:ascii="Garamond" w:hAnsi="Garamond" w:cstheme="minorHAnsi"/>
          <w:b/>
          <w:bCs/>
          <w:sz w:val="20"/>
          <w:szCs w:val="20"/>
        </w:rPr>
        <w:t xml:space="preserve"> </w:t>
      </w:r>
    </w:p>
    <w:p w14:paraId="265CADC8" w14:textId="4A247C54" w:rsidR="001347D4" w:rsidRDefault="001347D4" w:rsidP="008B7CE9">
      <w:pPr>
        <w:spacing w:after="200"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3408CB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371D7F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D545EB">
        <w:rPr>
          <w:rFonts w:ascii="Garamond" w:hAnsi="Garamond" w:cstheme="minorHAnsi"/>
          <w:b/>
          <w:bCs/>
          <w:sz w:val="20"/>
          <w:szCs w:val="20"/>
        </w:rPr>
        <w:t>Nie.</w:t>
      </w:r>
    </w:p>
    <w:p w14:paraId="07A0368D" w14:textId="77777777" w:rsidR="008B7CE9" w:rsidRDefault="008B7CE9" w:rsidP="008B7CE9">
      <w:pPr>
        <w:spacing w:after="200"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454E2F51" w14:textId="7541BE46" w:rsidR="009E0662" w:rsidRPr="00D545EB" w:rsidRDefault="00D545EB" w:rsidP="00D545EB">
      <w:pPr>
        <w:spacing w:after="200" w:line="276" w:lineRule="auto"/>
        <w:rPr>
          <w:rFonts w:ascii="Garamond" w:hAnsi="Garamond" w:cstheme="minorHAnsi"/>
          <w:b/>
          <w:bCs/>
          <w:sz w:val="20"/>
          <w:szCs w:val="20"/>
          <w:u w:val="single"/>
        </w:rPr>
      </w:pPr>
      <w:r w:rsidRPr="00DA5651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4</w:t>
      </w:r>
      <w:r w:rsidRPr="00DA5651">
        <w:rPr>
          <w:rFonts w:ascii="Garamond" w:hAnsi="Garamond"/>
          <w:b/>
          <w:sz w:val="20"/>
          <w:szCs w:val="20"/>
          <w:u w:val="single"/>
        </w:rPr>
        <w:t>:</w:t>
      </w:r>
      <w:r w:rsidRPr="003408CB">
        <w:rPr>
          <w:rFonts w:ascii="Garamond" w:eastAsia="Times New Roman" w:hAnsi="Garamond" w:cs="Arial"/>
          <w:bCs/>
          <w:sz w:val="20"/>
          <w:szCs w:val="20"/>
          <w:lang w:eastAsia="pl-PL"/>
        </w:rPr>
        <w:br/>
      </w:r>
      <w:r w:rsidR="008B7CE9" w:rsidRPr="008B7CE9">
        <w:rPr>
          <w:rFonts w:ascii="Garamond" w:hAnsi="Garamond"/>
          <w:sz w:val="20"/>
          <w:szCs w:val="20"/>
          <w:u w:val="single"/>
        </w:rPr>
        <w:t>Do §9 ust. 2 wzoru umowy</w:t>
      </w:r>
      <w:r w:rsidR="008B7CE9" w:rsidRPr="008B7CE9">
        <w:rPr>
          <w:rFonts w:ascii="Garamond" w:hAnsi="Garamond"/>
          <w:sz w:val="20"/>
          <w:szCs w:val="20"/>
        </w:rPr>
        <w:t>: Prosimy o usunięcie §9 ust. 2 wzoru umowy. Przedłużenia okresu obowiązywania umowy</w:t>
      </w:r>
      <w:r w:rsidR="008B7CE9">
        <w:rPr>
          <w:rFonts w:ascii="Garamond" w:hAnsi="Garamond"/>
          <w:sz w:val="20"/>
          <w:szCs w:val="20"/>
        </w:rPr>
        <w:t xml:space="preserve"> </w:t>
      </w:r>
      <w:r w:rsidR="008B7CE9" w:rsidRPr="008B7CE9">
        <w:rPr>
          <w:rFonts w:ascii="Garamond" w:hAnsi="Garamond"/>
          <w:sz w:val="20"/>
          <w:szCs w:val="20"/>
        </w:rPr>
        <w:t>stanowi istotną zmianę treści umowy, a co za tym idzie nie może być zależne jedynie od jednostronnej</w:t>
      </w:r>
      <w:r w:rsidR="008B7CE9">
        <w:rPr>
          <w:rFonts w:ascii="Garamond" w:hAnsi="Garamond"/>
          <w:sz w:val="20"/>
          <w:szCs w:val="20"/>
        </w:rPr>
        <w:t xml:space="preserve"> </w:t>
      </w:r>
      <w:r w:rsidR="008B7CE9" w:rsidRPr="008B7CE9">
        <w:rPr>
          <w:rFonts w:ascii="Garamond" w:hAnsi="Garamond"/>
          <w:sz w:val="20"/>
          <w:szCs w:val="20"/>
        </w:rPr>
        <w:t>czynności prawnej dokonanej przez Zamawiającego, tym bardziej, że w myśl art. 139 ust. 2 PZP umowa w sprawie</w:t>
      </w:r>
      <w:r w:rsidR="008B7CE9">
        <w:rPr>
          <w:rFonts w:ascii="Garamond" w:hAnsi="Garamond"/>
          <w:sz w:val="20"/>
          <w:szCs w:val="20"/>
        </w:rPr>
        <w:t xml:space="preserve"> </w:t>
      </w:r>
      <w:r w:rsidR="008B7CE9" w:rsidRPr="008B7CE9">
        <w:rPr>
          <w:rFonts w:ascii="Garamond" w:hAnsi="Garamond"/>
          <w:sz w:val="20"/>
          <w:szCs w:val="20"/>
        </w:rPr>
        <w:t>zamówienia publicznego, a zatem również wszelkie jej zmiany, wymaga, pod rygorem nieważności, zachowania</w:t>
      </w:r>
      <w:r w:rsidR="008B7CE9">
        <w:rPr>
          <w:rFonts w:ascii="Garamond" w:hAnsi="Garamond"/>
          <w:sz w:val="20"/>
          <w:szCs w:val="20"/>
        </w:rPr>
        <w:t xml:space="preserve"> </w:t>
      </w:r>
      <w:r w:rsidR="008B7CE9" w:rsidRPr="008B7CE9">
        <w:rPr>
          <w:rFonts w:ascii="Garamond" w:hAnsi="Garamond"/>
          <w:sz w:val="20"/>
          <w:szCs w:val="20"/>
        </w:rPr>
        <w:t>formy pisemnej.</w:t>
      </w:r>
    </w:p>
    <w:p w14:paraId="763D5FD4" w14:textId="531D93DE" w:rsidR="001347D4" w:rsidRDefault="001347D4" w:rsidP="009E0662">
      <w:pPr>
        <w:spacing w:after="200" w:line="276" w:lineRule="auto"/>
        <w:rPr>
          <w:rFonts w:ascii="Garamond" w:hAnsi="Garamond" w:cstheme="minorHAnsi"/>
          <w:sz w:val="20"/>
          <w:szCs w:val="20"/>
        </w:rPr>
      </w:pPr>
      <w:r w:rsidRPr="003408CB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371D7F">
        <w:rPr>
          <w:rFonts w:ascii="Garamond" w:hAnsi="Garamond" w:cstheme="minorHAnsi"/>
          <w:b/>
          <w:bCs/>
          <w:sz w:val="20"/>
          <w:szCs w:val="20"/>
        </w:rPr>
        <w:t xml:space="preserve"> </w:t>
      </w:r>
      <w:bookmarkStart w:id="4" w:name="_Hlk183523811"/>
      <w:r w:rsidR="00D545EB">
        <w:rPr>
          <w:rFonts w:ascii="Garamond" w:hAnsi="Garamond" w:cstheme="minorHAnsi"/>
          <w:b/>
          <w:bCs/>
          <w:sz w:val="20"/>
          <w:szCs w:val="20"/>
        </w:rPr>
        <w:t>Nie</w:t>
      </w:r>
      <w:r w:rsidR="00371D7F">
        <w:rPr>
          <w:rFonts w:ascii="Garamond" w:hAnsi="Garamond" w:cstheme="minorHAnsi"/>
          <w:b/>
          <w:bCs/>
          <w:sz w:val="20"/>
          <w:szCs w:val="20"/>
        </w:rPr>
        <w:t>.</w:t>
      </w:r>
    </w:p>
    <w:bookmarkEnd w:id="4"/>
    <w:p w14:paraId="1B27B0F2" w14:textId="77777777" w:rsidR="008B7CE9" w:rsidRDefault="008B7CE9" w:rsidP="009E0662">
      <w:pPr>
        <w:rPr>
          <w:rFonts w:ascii="Garamond" w:hAnsi="Garamond"/>
          <w:b/>
          <w:sz w:val="20"/>
          <w:szCs w:val="20"/>
          <w:u w:val="single"/>
        </w:rPr>
      </w:pPr>
    </w:p>
    <w:p w14:paraId="659ACB15" w14:textId="77777777" w:rsidR="008B7CE9" w:rsidRPr="00203FF3" w:rsidRDefault="008B7CE9" w:rsidP="00790ED4">
      <w:pPr>
        <w:spacing w:before="100" w:beforeAutospacing="1" w:after="100" w:afterAutospacing="1" w:line="240" w:lineRule="auto"/>
        <w:jc w:val="both"/>
        <w:rPr>
          <w:rFonts w:ascii="Garamond" w:hAnsi="Garamond" w:cstheme="minorHAnsi"/>
          <w:b/>
          <w:bCs/>
          <w:sz w:val="20"/>
          <w:szCs w:val="20"/>
          <w:u w:val="single"/>
        </w:rPr>
      </w:pPr>
    </w:p>
    <w:p w14:paraId="21059B82" w14:textId="238BE144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Z poważaniem,</w:t>
      </w:r>
    </w:p>
    <w:p w14:paraId="6F2B88A4" w14:textId="3A064402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Anna Lipska</w:t>
      </w:r>
    </w:p>
    <w:p w14:paraId="4C3C8136" w14:textId="07E5E712" w:rsidR="005370F0" w:rsidRPr="00800960" w:rsidRDefault="00800960" w:rsidP="00203FF3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Sekcja Zamówień Publicznych</w:t>
      </w:r>
    </w:p>
    <w:sectPr w:rsidR="005370F0" w:rsidRPr="00800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825462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4781C"/>
    <w:rsid w:val="000F557D"/>
    <w:rsid w:val="00110A15"/>
    <w:rsid w:val="001347D4"/>
    <w:rsid w:val="00203FF3"/>
    <w:rsid w:val="003408CB"/>
    <w:rsid w:val="00371D7F"/>
    <w:rsid w:val="003B2045"/>
    <w:rsid w:val="003B4F0A"/>
    <w:rsid w:val="003E28D3"/>
    <w:rsid w:val="00455D5A"/>
    <w:rsid w:val="00464E93"/>
    <w:rsid w:val="00477B7B"/>
    <w:rsid w:val="004D5268"/>
    <w:rsid w:val="005017D9"/>
    <w:rsid w:val="005370F0"/>
    <w:rsid w:val="00537774"/>
    <w:rsid w:val="005650ED"/>
    <w:rsid w:val="005E3CD2"/>
    <w:rsid w:val="00790ED4"/>
    <w:rsid w:val="007C771C"/>
    <w:rsid w:val="007E77A2"/>
    <w:rsid w:val="00800960"/>
    <w:rsid w:val="00875664"/>
    <w:rsid w:val="008B7CE9"/>
    <w:rsid w:val="008D4096"/>
    <w:rsid w:val="008D76BB"/>
    <w:rsid w:val="008E4828"/>
    <w:rsid w:val="009E0662"/>
    <w:rsid w:val="00A172E0"/>
    <w:rsid w:val="00A23899"/>
    <w:rsid w:val="00A50AD7"/>
    <w:rsid w:val="00B20EF4"/>
    <w:rsid w:val="00B532F0"/>
    <w:rsid w:val="00BF3A1E"/>
    <w:rsid w:val="00C47D15"/>
    <w:rsid w:val="00C57429"/>
    <w:rsid w:val="00D545EB"/>
    <w:rsid w:val="00D54EA2"/>
    <w:rsid w:val="00D80040"/>
    <w:rsid w:val="00DA5651"/>
    <w:rsid w:val="00DD4EE8"/>
    <w:rsid w:val="00E46472"/>
    <w:rsid w:val="00EE30C2"/>
    <w:rsid w:val="00F9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E482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4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798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15</cp:revision>
  <dcterms:created xsi:type="dcterms:W3CDTF">2024-09-17T06:10:00Z</dcterms:created>
  <dcterms:modified xsi:type="dcterms:W3CDTF">2024-11-28T09:15:00Z</dcterms:modified>
</cp:coreProperties>
</file>