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2763D5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D05E0">
        <w:rPr>
          <w:rFonts w:ascii="Garamond" w:hAnsi="Garamond"/>
          <w:sz w:val="20"/>
          <w:szCs w:val="20"/>
        </w:rPr>
        <w:t>27</w:t>
      </w:r>
      <w:r w:rsidRPr="00800960">
        <w:rPr>
          <w:rFonts w:ascii="Garamond" w:hAnsi="Garamond"/>
          <w:sz w:val="20"/>
          <w:szCs w:val="20"/>
        </w:rPr>
        <w:t>.</w:t>
      </w:r>
      <w:r w:rsidR="00DD05E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11A0F8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D05E0">
        <w:rPr>
          <w:rFonts w:ascii="Garamond" w:hAnsi="Garamond"/>
          <w:b/>
          <w:sz w:val="20"/>
          <w:szCs w:val="20"/>
        </w:rPr>
        <w:t>25</w:t>
      </w:r>
      <w:r w:rsidR="00B848A8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7FF3842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848A8" w:rsidRPr="00B848A8">
        <w:rPr>
          <w:rFonts w:ascii="Garamond" w:hAnsi="Garamond"/>
          <w:b/>
          <w:bCs/>
          <w:color w:val="000000"/>
          <w:sz w:val="20"/>
          <w:szCs w:val="20"/>
        </w:rPr>
        <w:t>DOSTAWY LEKÓW DLA CHEMIOTERAPII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966B2D2" w14:textId="77777777" w:rsidR="00B622F2" w:rsidRDefault="00B622F2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03D1341" w14:textId="77777777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DD05E0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2150B749" w14:textId="5413F142" w:rsidR="00B848A8" w:rsidRPr="00B848A8" w:rsidRDefault="00B848A8" w:rsidP="00B848A8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</w:t>
      </w:r>
      <w:r w:rsidRPr="00B848A8">
        <w:rPr>
          <w:rFonts w:ascii="Garamond" w:hAnsi="Garamond"/>
          <w:sz w:val="20"/>
          <w:szCs w:val="20"/>
        </w:rPr>
        <w:t xml:space="preserve">otyczy preparatu </w:t>
      </w:r>
      <w:proofErr w:type="spellStart"/>
      <w:r w:rsidRPr="00B848A8">
        <w:rPr>
          <w:rFonts w:ascii="Garamond" w:hAnsi="Garamond"/>
          <w:sz w:val="20"/>
          <w:szCs w:val="20"/>
        </w:rPr>
        <w:t>Paclitaxelum</w:t>
      </w:r>
      <w:proofErr w:type="spellEnd"/>
      <w:r w:rsidRPr="00B848A8">
        <w:rPr>
          <w:rFonts w:ascii="Garamond" w:hAnsi="Garamond"/>
          <w:sz w:val="20"/>
          <w:szCs w:val="20"/>
        </w:rPr>
        <w:t xml:space="preserve"> </w:t>
      </w:r>
      <w:proofErr w:type="spellStart"/>
      <w:r w:rsidRPr="00B848A8">
        <w:rPr>
          <w:rFonts w:ascii="Garamond" w:hAnsi="Garamond"/>
          <w:sz w:val="20"/>
          <w:szCs w:val="20"/>
        </w:rPr>
        <w:t>albuminatum</w:t>
      </w:r>
      <w:proofErr w:type="spellEnd"/>
    </w:p>
    <w:p w14:paraId="3F6737EF" w14:textId="1C1B5C0D" w:rsidR="00B848A8" w:rsidRPr="00B848A8" w:rsidRDefault="00B848A8" w:rsidP="00B848A8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B848A8">
        <w:rPr>
          <w:rFonts w:ascii="Garamond" w:hAnsi="Garamond"/>
          <w:sz w:val="20"/>
          <w:szCs w:val="20"/>
        </w:rPr>
        <w:t>Czy Zamawiający wyrazi zgodę na podanie ceny netto za mg do czterech miejsc po przecinku lub wycenę preparatu za opakowanie, podając jednocześnie cenę  netto za opakowanie?</w:t>
      </w:r>
    </w:p>
    <w:p w14:paraId="492C82A8" w14:textId="7BEC717E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D05E0">
        <w:rPr>
          <w:rFonts w:ascii="Garamond" w:hAnsi="Garamond"/>
          <w:b/>
          <w:bCs/>
          <w:sz w:val="20"/>
          <w:szCs w:val="20"/>
        </w:rPr>
        <w:t xml:space="preserve">Odpowiedź: Zamawiający </w:t>
      </w:r>
      <w:r w:rsidR="00B848A8">
        <w:rPr>
          <w:rFonts w:ascii="Garamond" w:hAnsi="Garamond"/>
          <w:b/>
          <w:bCs/>
          <w:sz w:val="20"/>
          <w:szCs w:val="20"/>
        </w:rPr>
        <w:t>dopuszcza podanie ceny za opakowanie stosując stosowne przeliczenie</w:t>
      </w:r>
      <w:r w:rsidRPr="00DD05E0">
        <w:rPr>
          <w:rFonts w:ascii="Garamond" w:hAnsi="Garamond"/>
          <w:b/>
          <w:bCs/>
          <w:sz w:val="20"/>
          <w:szCs w:val="20"/>
        </w:rPr>
        <w:t>.</w:t>
      </w:r>
    </w:p>
    <w:p w14:paraId="263A479F" w14:textId="53160140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FFD99AF" w14:textId="0F513F92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DD05E0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DD05E0">
        <w:rPr>
          <w:rFonts w:ascii="Garamond" w:hAnsi="Garamond"/>
          <w:b/>
          <w:sz w:val="20"/>
          <w:szCs w:val="20"/>
          <w:u w:val="single"/>
        </w:rPr>
        <w:t>:</w:t>
      </w:r>
    </w:p>
    <w:p w14:paraId="36010817" w14:textId="77777777" w:rsidR="000D32C3" w:rsidRPr="000D32C3" w:rsidRDefault="000D32C3" w:rsidP="000D32C3">
      <w:pPr>
        <w:tabs>
          <w:tab w:val="num" w:pos="72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D32C3">
        <w:rPr>
          <w:rFonts w:ascii="Garamond" w:hAnsi="Garamond"/>
          <w:sz w:val="20"/>
          <w:szCs w:val="20"/>
        </w:rPr>
        <w:t xml:space="preserve">Czy Zamawiający wyrazi zgodę na zmianę §7 ust.4 </w:t>
      </w:r>
      <w:proofErr w:type="spellStart"/>
      <w:r w:rsidRPr="000D32C3">
        <w:rPr>
          <w:rFonts w:ascii="Garamond" w:hAnsi="Garamond"/>
          <w:sz w:val="20"/>
          <w:szCs w:val="20"/>
        </w:rPr>
        <w:t>lit.a</w:t>
      </w:r>
      <w:proofErr w:type="spellEnd"/>
      <w:r w:rsidRPr="000D32C3">
        <w:rPr>
          <w:rFonts w:ascii="Garamond" w:hAnsi="Garamond"/>
          <w:sz w:val="20"/>
          <w:szCs w:val="20"/>
        </w:rPr>
        <w:t>) o treści: „Dokonać zakupu u innego sprzedającego, na koszt i ryzyko Sprzedającego” na zdanie następujące: „</w:t>
      </w:r>
      <w:r w:rsidRPr="000D32C3">
        <w:rPr>
          <w:rFonts w:ascii="Garamond" w:hAnsi="Garamond"/>
          <w:i/>
          <w:iCs/>
          <w:sz w:val="20"/>
          <w:szCs w:val="20"/>
          <w:u w:val="single"/>
        </w:rPr>
        <w:t>Różnicą w cenie zakupu interwencyjnego partii asortymentu, którego dotyczy zwłoka, Kupujący obciąży Sprzedawcę</w:t>
      </w:r>
      <w:r w:rsidRPr="000D32C3">
        <w:rPr>
          <w:rFonts w:ascii="Garamond" w:hAnsi="Garamond"/>
          <w:sz w:val="20"/>
          <w:szCs w:val="20"/>
          <w:u w:val="single"/>
        </w:rPr>
        <w:t>”</w:t>
      </w:r>
      <w:r w:rsidRPr="000D32C3">
        <w:rPr>
          <w:rFonts w:ascii="Garamond" w:hAnsi="Garamond"/>
          <w:sz w:val="20"/>
          <w:szCs w:val="20"/>
        </w:rPr>
        <w:t xml:space="preserve"> </w:t>
      </w:r>
    </w:p>
    <w:p w14:paraId="60A02C1A" w14:textId="77777777" w:rsidR="000D32C3" w:rsidRPr="000D32C3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D32C3">
        <w:rPr>
          <w:rFonts w:ascii="Garamond" w:hAnsi="Garamond"/>
          <w:sz w:val="20"/>
          <w:szCs w:val="20"/>
        </w:rPr>
        <w:t> </w:t>
      </w:r>
    </w:p>
    <w:p w14:paraId="7BC8C1CD" w14:textId="77777777" w:rsidR="000D32C3" w:rsidRPr="000D32C3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D32C3">
        <w:rPr>
          <w:rFonts w:ascii="Garamond" w:hAnsi="Garamond"/>
          <w:sz w:val="20"/>
          <w:szCs w:val="20"/>
        </w:rPr>
        <w:t>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</w:t>
      </w:r>
      <w:r w:rsidRPr="000D32C3">
        <w:rPr>
          <w:rFonts w:ascii="Garamond" w:hAnsi="Garamond"/>
          <w:i/>
          <w:iCs/>
          <w:sz w:val="20"/>
          <w:szCs w:val="20"/>
        </w:rPr>
        <w:t>wierzyciel może żądać zwrotu kosztów nabycia zastępczego od dłużnika, a zarazem nie jest uprawniony do zapłaty dłużnikowi swojego świadczenia, prowadziłby do niesłusznego wzbogacenia tego wierzyciela</w:t>
      </w:r>
      <w:r w:rsidRPr="000D32C3">
        <w:rPr>
          <w:rFonts w:ascii="Garamond" w:hAnsi="Garamond"/>
          <w:sz w:val="20"/>
          <w:szCs w:val="20"/>
        </w:rPr>
        <w:t xml:space="preserve">.” (Kodeks cywilny, Komentarz, J.M. Kondek, red. K. </w:t>
      </w:r>
      <w:proofErr w:type="spellStart"/>
      <w:r w:rsidRPr="000D32C3">
        <w:rPr>
          <w:rFonts w:ascii="Garamond" w:hAnsi="Garamond"/>
          <w:sz w:val="20"/>
          <w:szCs w:val="20"/>
        </w:rPr>
        <w:t>Osajda</w:t>
      </w:r>
      <w:proofErr w:type="spellEnd"/>
      <w:r w:rsidRPr="000D32C3">
        <w:rPr>
          <w:rFonts w:ascii="Garamond" w:hAnsi="Garamond"/>
          <w:sz w:val="20"/>
          <w:szCs w:val="20"/>
        </w:rPr>
        <w:t xml:space="preserve">, 2021 r.). Powyższe konsekwentnie potwierdza judykatura- Sąd Apelacyjny w wyroku z dnia 5 sierpnia 2016 r., sygn. akt: I </w:t>
      </w:r>
      <w:proofErr w:type="spellStart"/>
      <w:r w:rsidRPr="000D32C3">
        <w:rPr>
          <w:rFonts w:ascii="Garamond" w:hAnsi="Garamond"/>
          <w:sz w:val="20"/>
          <w:szCs w:val="20"/>
        </w:rPr>
        <w:t>ACa</w:t>
      </w:r>
      <w:proofErr w:type="spellEnd"/>
      <w:r w:rsidRPr="000D32C3">
        <w:rPr>
          <w:rFonts w:ascii="Garamond" w:hAnsi="Garamond"/>
          <w:sz w:val="20"/>
          <w:szCs w:val="20"/>
        </w:rPr>
        <w:t xml:space="preserve"> 322/16 wskazał, że: „</w:t>
      </w:r>
      <w:r w:rsidRPr="000D32C3">
        <w:rPr>
          <w:rFonts w:ascii="Garamond" w:hAnsi="Garamond"/>
          <w:i/>
          <w:iCs/>
          <w:sz w:val="20"/>
          <w:szCs w:val="20"/>
        </w:rPr>
        <w:t xml:space="preserve">Jeżeli nabycie rzeczy wynika z umowy wzajemnej, to po zrealizowaniu go przez wierzyciela, obowiązek dłużnika dotyczy kosztów nabycia, pomniejszonych o cenę, do której uregulowania zobowiązany byłby wierzyciel. </w:t>
      </w:r>
      <w:r w:rsidRPr="000D32C3">
        <w:rPr>
          <w:rFonts w:ascii="Garamond" w:hAnsi="Garamond"/>
          <w:sz w:val="20"/>
          <w:szCs w:val="20"/>
        </w:rPr>
        <w:t>Sąd Apelacyjny w Krakowie w kolejnym wyroku podsumował, że „</w:t>
      </w:r>
      <w:r w:rsidRPr="000D32C3">
        <w:rPr>
          <w:rFonts w:ascii="Garamond" w:hAnsi="Garamond"/>
          <w:i/>
          <w:iCs/>
          <w:sz w:val="20"/>
          <w:szCs w:val="20"/>
        </w:rPr>
        <w:t xml:space="preserve">Roszczenie o zapłatę kosztów, o jakich mowa w art. 479 KC, ma charakter odszkodowawczy. </w:t>
      </w:r>
      <w:r w:rsidRPr="000D32C3">
        <w:rPr>
          <w:rFonts w:ascii="Garamond" w:hAnsi="Garamond"/>
          <w:i/>
          <w:iCs/>
          <w:sz w:val="20"/>
          <w:szCs w:val="20"/>
          <w:u w:val="single"/>
        </w:rPr>
        <w:t xml:space="preserve">Odliczenie zaś od kosztów zakupu zastępczego ceny uzgodnionej między stronami stanowi uwzględnienie zasady </w:t>
      </w:r>
      <w:proofErr w:type="spellStart"/>
      <w:r w:rsidRPr="000D32C3">
        <w:rPr>
          <w:rFonts w:ascii="Garamond" w:hAnsi="Garamond"/>
          <w:i/>
          <w:iCs/>
          <w:sz w:val="20"/>
          <w:szCs w:val="20"/>
          <w:u w:val="single"/>
        </w:rPr>
        <w:t>compensatio</w:t>
      </w:r>
      <w:proofErr w:type="spellEnd"/>
      <w:r w:rsidRPr="000D32C3">
        <w:rPr>
          <w:rFonts w:ascii="Garamond" w:hAnsi="Garamond"/>
          <w:i/>
          <w:iCs/>
          <w:sz w:val="20"/>
          <w:szCs w:val="20"/>
          <w:u w:val="single"/>
        </w:rPr>
        <w:t xml:space="preserve"> </w:t>
      </w:r>
      <w:proofErr w:type="spellStart"/>
      <w:r w:rsidRPr="000D32C3">
        <w:rPr>
          <w:rFonts w:ascii="Garamond" w:hAnsi="Garamond"/>
          <w:i/>
          <w:iCs/>
          <w:sz w:val="20"/>
          <w:szCs w:val="20"/>
          <w:u w:val="single"/>
        </w:rPr>
        <w:t>lucri</w:t>
      </w:r>
      <w:proofErr w:type="spellEnd"/>
      <w:r w:rsidRPr="000D32C3">
        <w:rPr>
          <w:rFonts w:ascii="Garamond" w:hAnsi="Garamond"/>
          <w:i/>
          <w:iCs/>
          <w:sz w:val="20"/>
          <w:szCs w:val="20"/>
          <w:u w:val="single"/>
        </w:rPr>
        <w:t xml:space="preserve"> cum damno</w:t>
      </w:r>
      <w:r w:rsidRPr="000D32C3">
        <w:rPr>
          <w:rFonts w:ascii="Garamond" w:hAnsi="Garamond"/>
          <w:i/>
          <w:iCs/>
          <w:sz w:val="20"/>
          <w:szCs w:val="20"/>
        </w:rPr>
        <w:t>, gdyż stanowi uwzględnienie tego, co wierzyciel zaoszczędził nie świadcząc stronie pozwanej.” (</w:t>
      </w:r>
      <w:r w:rsidRPr="000D32C3">
        <w:rPr>
          <w:rFonts w:ascii="Garamond" w:hAnsi="Garamond"/>
          <w:sz w:val="20"/>
          <w:szCs w:val="20"/>
        </w:rPr>
        <w:t xml:space="preserve">wyrok z dnia 19 lutego 2020 r., sygn. akt: I </w:t>
      </w:r>
      <w:proofErr w:type="spellStart"/>
      <w:r w:rsidRPr="000D32C3">
        <w:rPr>
          <w:rFonts w:ascii="Garamond" w:hAnsi="Garamond"/>
          <w:sz w:val="20"/>
          <w:szCs w:val="20"/>
        </w:rPr>
        <w:t>AGa</w:t>
      </w:r>
      <w:proofErr w:type="spellEnd"/>
      <w:r w:rsidRPr="000D32C3">
        <w:rPr>
          <w:rFonts w:ascii="Garamond" w:hAnsi="Garamond"/>
          <w:sz w:val="20"/>
          <w:szCs w:val="20"/>
        </w:rPr>
        <w:t xml:space="preserve"> 29/19).</w:t>
      </w:r>
    </w:p>
    <w:p w14:paraId="74DB4FD5" w14:textId="070EC0BE" w:rsidR="000D32C3" w:rsidRPr="000D32C3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D32C3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NIE</w:t>
      </w:r>
      <w:r w:rsidRPr="000D32C3">
        <w:rPr>
          <w:rFonts w:ascii="Garamond" w:hAnsi="Garamond"/>
          <w:b/>
          <w:bCs/>
          <w:sz w:val="20"/>
          <w:szCs w:val="20"/>
        </w:rPr>
        <w:t>, Zamawiający</w:t>
      </w:r>
      <w:r>
        <w:rPr>
          <w:rFonts w:ascii="Garamond" w:hAnsi="Garamond"/>
          <w:b/>
          <w:bCs/>
          <w:sz w:val="20"/>
          <w:szCs w:val="20"/>
        </w:rPr>
        <w:t xml:space="preserve"> nie wyraża zgody.</w:t>
      </w:r>
      <w:r w:rsidRPr="000D32C3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FBFC5F0" w14:textId="1C92A2C8" w:rsidR="000D32C3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D712635" w14:textId="70B553AE" w:rsidR="000D32C3" w:rsidRPr="000D32C3" w:rsidRDefault="000D32C3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0D32C3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0D32C3">
        <w:rPr>
          <w:rFonts w:ascii="Garamond" w:hAnsi="Garamond"/>
          <w:b/>
          <w:sz w:val="20"/>
          <w:szCs w:val="20"/>
          <w:u w:val="single"/>
        </w:rPr>
        <w:t>:</w:t>
      </w:r>
    </w:p>
    <w:p w14:paraId="0FC59AAC" w14:textId="77777777" w:rsidR="000D32C3" w:rsidRDefault="000D32C3" w:rsidP="000D32C3">
      <w:pPr>
        <w:tabs>
          <w:tab w:val="num" w:pos="72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D32C3">
        <w:rPr>
          <w:rFonts w:ascii="Garamond" w:hAnsi="Garamond"/>
          <w:sz w:val="20"/>
          <w:szCs w:val="20"/>
        </w:rPr>
        <w:t xml:space="preserve">Do §9 ust. 2 wzoru umowy: </w:t>
      </w:r>
    </w:p>
    <w:p w14:paraId="5B197AC0" w14:textId="77584114" w:rsidR="000D32C3" w:rsidRPr="000D32C3" w:rsidRDefault="000D32C3" w:rsidP="000D32C3">
      <w:pPr>
        <w:tabs>
          <w:tab w:val="num" w:pos="72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D32C3">
        <w:rPr>
          <w:rFonts w:ascii="Garamond" w:hAnsi="Garamond"/>
          <w:sz w:val="20"/>
          <w:szCs w:val="20"/>
        </w:rPr>
        <w:t>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 za zgodą obu stron.</w:t>
      </w:r>
    </w:p>
    <w:p w14:paraId="03FDB7A1" w14:textId="74C23523" w:rsidR="00DD05E0" w:rsidRPr="000D32C3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12443516"/>
      <w:r w:rsidRPr="00DD05E0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0D32C3"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 xml:space="preserve">, </w:t>
      </w:r>
      <w:r w:rsidRPr="00DD05E0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0D32C3">
        <w:rPr>
          <w:rFonts w:ascii="Garamond" w:hAnsi="Garamond"/>
          <w:b/>
          <w:bCs/>
          <w:sz w:val="20"/>
          <w:szCs w:val="20"/>
        </w:rPr>
        <w:t xml:space="preserve">nie </w:t>
      </w:r>
      <w:r w:rsidRPr="00DD05E0">
        <w:rPr>
          <w:rFonts w:ascii="Garamond" w:hAnsi="Garamond"/>
          <w:b/>
          <w:bCs/>
          <w:sz w:val="20"/>
          <w:szCs w:val="20"/>
        </w:rPr>
        <w:t>wyraża zgod</w:t>
      </w:r>
      <w:r w:rsidR="000D32C3">
        <w:rPr>
          <w:rFonts w:ascii="Garamond" w:hAnsi="Garamond"/>
          <w:b/>
          <w:bCs/>
          <w:sz w:val="20"/>
          <w:szCs w:val="20"/>
        </w:rPr>
        <w:t>y</w:t>
      </w:r>
      <w:r w:rsidRPr="00DD05E0">
        <w:rPr>
          <w:rFonts w:ascii="Garamond" w:hAnsi="Garamond"/>
          <w:b/>
          <w:bCs/>
          <w:sz w:val="20"/>
          <w:szCs w:val="20"/>
        </w:rPr>
        <w:t>.</w:t>
      </w:r>
      <w:bookmarkEnd w:id="0"/>
    </w:p>
    <w:p w14:paraId="7BC5EF8C" w14:textId="77777777" w:rsidR="00DD05E0" w:rsidRDefault="00DD05E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A45D60F" w14:textId="77777777" w:rsidR="00DD05E0" w:rsidRDefault="00DD05E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535ACB"/>
    <w:multiLevelType w:val="multilevel"/>
    <w:tmpl w:val="A8BA7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780DDD"/>
    <w:multiLevelType w:val="multilevel"/>
    <w:tmpl w:val="0526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4"/>
  </w:num>
  <w:num w:numId="20" w16cid:durableId="2051417131">
    <w:abstractNumId w:val="17"/>
  </w:num>
  <w:num w:numId="21" w16cid:durableId="1478186116">
    <w:abstractNumId w:val="19"/>
  </w:num>
  <w:num w:numId="22" w16cid:durableId="1639920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32C3"/>
    <w:rsid w:val="000D4992"/>
    <w:rsid w:val="00126E96"/>
    <w:rsid w:val="001352C7"/>
    <w:rsid w:val="00142226"/>
    <w:rsid w:val="00174B7D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48A8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D05E0"/>
    <w:rsid w:val="00DE4504"/>
    <w:rsid w:val="00E1383E"/>
    <w:rsid w:val="00E2210E"/>
    <w:rsid w:val="00E22690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55</cp:revision>
  <cp:lastPrinted>2025-01-22T13:23:00Z</cp:lastPrinted>
  <dcterms:created xsi:type="dcterms:W3CDTF">2024-09-17T06:10:00Z</dcterms:created>
  <dcterms:modified xsi:type="dcterms:W3CDTF">2025-10-27T06:46:00Z</dcterms:modified>
</cp:coreProperties>
</file>