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75832C6B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60730C">
        <w:rPr>
          <w:rFonts w:ascii="Garamond" w:hAnsi="Garamond"/>
          <w:sz w:val="20"/>
          <w:szCs w:val="20"/>
        </w:rPr>
        <w:t>08</w:t>
      </w:r>
      <w:r w:rsidRPr="00800960">
        <w:rPr>
          <w:rFonts w:ascii="Garamond" w:hAnsi="Garamond"/>
          <w:sz w:val="20"/>
          <w:szCs w:val="20"/>
        </w:rPr>
        <w:t>.</w:t>
      </w:r>
      <w:r w:rsidR="00E10129">
        <w:rPr>
          <w:rFonts w:ascii="Garamond" w:hAnsi="Garamond"/>
          <w:sz w:val="20"/>
          <w:szCs w:val="20"/>
        </w:rPr>
        <w:t>1</w:t>
      </w:r>
      <w:r w:rsidR="007D4E95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2781E87D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033A9B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6C2F96A6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10129">
        <w:rPr>
          <w:rFonts w:ascii="Garamond" w:hAnsi="Garamond"/>
          <w:b/>
          <w:sz w:val="20"/>
          <w:szCs w:val="20"/>
        </w:rPr>
        <w:t>2</w:t>
      </w:r>
      <w:r w:rsidR="00F976CC">
        <w:rPr>
          <w:rFonts w:ascii="Garamond" w:hAnsi="Garamond"/>
          <w:b/>
          <w:sz w:val="20"/>
          <w:szCs w:val="20"/>
        </w:rPr>
        <w:t>71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32D9DF1E" w:rsidR="00B51345" w:rsidRPr="00F976CC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F976CC" w:rsidRPr="00F976C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ŚWIADCZENIE PRZEZ WYKONAWCĘ NA RZECZ 5 WOJSKOWEGO SZPITALA KLINICZNEGO Z POLIKLINIKĄ SPZOZ W KRAKOWIE USŁUG POCZTOWYCH W OBROCIE KRAJOWYM I ZAGRANICZNYM, W ZAKRESIE PRZYJMOWANIA, PRZEMIESZCZANIA I DORĘCZANIA PRZESYŁEK POCZTOWYCH REJESTROWANYCH I NIEREJESTROWANYCH (PRZESYŁKI LISTOWE, PACZKI POCZTOWE), JAK RÓWNIEŻ ZWROT PRZESYŁEK NIEDORĘCZONYCH PO WYCZERPANIU MOŻLIWOŚCI DORĘCZENIA LUB WYDANIA ODBIORCY, W ROZUMIENIU USTAWY Z DNIA 23 LISTOPADA 2012 R. PRAWO POCZTOWE (TJ. DZ. U. 2020 POZ. 1041), W SKŁAD KTÓRYCH WCHODZĄ USŁUGI POCZTOWE OPŁACANE „Z DOŁU” ORAZ USŁUGA ODBIORU PRZESYŁEK PRZEZ 5 DNI W TYGODNIU W OKRESIE OD DNIA 01.01.2026 R. DO DNIA 31.12.2027 R.</w:t>
      </w:r>
      <w:r w:rsidR="00E10129">
        <w:rPr>
          <w:rFonts w:ascii="Garamond" w:hAnsi="Garamond"/>
          <w:b/>
          <w:bCs/>
          <w:sz w:val="20"/>
          <w:szCs w:val="20"/>
        </w:rPr>
        <w:t>,</w:t>
      </w:r>
      <w:r w:rsidR="0081018D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56F7D28D" w14:textId="77777777" w:rsid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bookmarkStart w:id="0" w:name="_Hlk213229960"/>
      <w:r w:rsidRPr="007D4E95">
        <w:rPr>
          <w:rFonts w:ascii="Garamond" w:hAnsi="Garamond" w:cs="Arial"/>
          <w:color w:val="000000"/>
          <w:sz w:val="20"/>
          <w:szCs w:val="20"/>
        </w:rPr>
        <w:t>Zamawiający w Zapytaniu ofertowym część B (Przedmiot zamówienia) pkt 2c wymaga wycenienia usługi</w:t>
      </w:r>
      <w:r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7D4E95">
        <w:rPr>
          <w:rFonts w:ascii="Garamond" w:hAnsi="Garamond" w:cs="Arial"/>
          <w:color w:val="000000"/>
          <w:sz w:val="20"/>
          <w:szCs w:val="20"/>
        </w:rPr>
        <w:t>przesyłek pocztowych na warunkach szczególnych – wymagających traktowania ze szczególna ostrożnością ze</w:t>
      </w:r>
      <w:r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7D4E95">
        <w:rPr>
          <w:rFonts w:ascii="Garamond" w:hAnsi="Garamond" w:cs="Arial"/>
          <w:color w:val="000000"/>
          <w:sz w:val="20"/>
          <w:szCs w:val="20"/>
        </w:rPr>
        <w:t>względu na zawartość. Wykonawca podkreśla, że w przypadku przesyłek listowych i paczkowych wskazanych w</w:t>
      </w:r>
      <w:r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7D4E95">
        <w:rPr>
          <w:rFonts w:ascii="Garamond" w:hAnsi="Garamond" w:cs="Arial"/>
          <w:color w:val="000000"/>
          <w:sz w:val="20"/>
          <w:szCs w:val="20"/>
        </w:rPr>
        <w:t>zamówieniu przez Zamawiającego obecnie obowiązujące przepisy nie przewidują usługi dodatkowej „ostrożnie”.</w:t>
      </w:r>
      <w:r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7D4E95">
        <w:rPr>
          <w:rFonts w:ascii="Garamond" w:hAnsi="Garamond" w:cs="Arial"/>
          <w:color w:val="000000"/>
          <w:sz w:val="20"/>
          <w:szCs w:val="20"/>
        </w:rPr>
        <w:t>Usługę dodatkową wpływająca na specjalne traktowanie przesyłek wykorzystać można w ramach usług</w:t>
      </w:r>
      <w:r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7D4E95">
        <w:rPr>
          <w:rFonts w:ascii="Garamond" w:hAnsi="Garamond" w:cs="Arial"/>
          <w:color w:val="000000"/>
          <w:sz w:val="20"/>
          <w:szCs w:val="20"/>
        </w:rPr>
        <w:t>kurierskich, z których Zamawiający może skorzystać w oparciu o zapis Zapytania ofertowego część Ł pkt.22.</w:t>
      </w:r>
      <w:r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7D4E95">
        <w:rPr>
          <w:rFonts w:ascii="Garamond" w:hAnsi="Garamond" w:cs="Arial"/>
          <w:color w:val="000000"/>
          <w:sz w:val="20"/>
          <w:szCs w:val="20"/>
        </w:rPr>
        <w:t>W związku z powyższym czy Wykonawca ma rozumieć, że Zamawiający w przypadku przesyłek listowych i</w:t>
      </w:r>
      <w:r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7D4E95">
        <w:rPr>
          <w:rFonts w:ascii="Garamond" w:hAnsi="Garamond" w:cs="Arial"/>
          <w:color w:val="000000"/>
          <w:sz w:val="20"/>
          <w:szCs w:val="20"/>
        </w:rPr>
        <w:t>paczkowych wykorzystywać będzie usługi zgodnie z obowiązującymi przepisami Prawa Pocztowego dot.</w:t>
      </w:r>
      <w:r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7D4E95">
        <w:rPr>
          <w:rFonts w:ascii="Garamond" w:hAnsi="Garamond" w:cs="Arial"/>
          <w:color w:val="000000"/>
          <w:sz w:val="20"/>
          <w:szCs w:val="20"/>
        </w:rPr>
        <w:t>realizacji usług powszechnych oraz odpowiadającymi im regulaminami, a usługę „ostrożnie” stosować</w:t>
      </w:r>
      <w:r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7D4E95">
        <w:rPr>
          <w:rFonts w:ascii="Garamond" w:hAnsi="Garamond" w:cs="Arial"/>
          <w:color w:val="000000"/>
          <w:sz w:val="20"/>
          <w:szCs w:val="20"/>
        </w:rPr>
        <w:t>będzie w ramach usług kurierskich?</w:t>
      </w:r>
    </w:p>
    <w:p w14:paraId="0EB5B748" w14:textId="21D98B70" w:rsidR="00E10129" w:rsidRPr="007D4E95" w:rsidRDefault="00E10129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bookmarkStart w:id="1" w:name="_Hlk215573466"/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bookmarkEnd w:id="0"/>
      <w:r w:rsidR="00430B33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TAK</w:t>
      </w:r>
      <w:r w:rsidR="00F976CC" w:rsidRPr="00F976C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bookmarkEnd w:id="1"/>
    <w:p w14:paraId="0B684031" w14:textId="1239E990" w:rsidR="007D4E95" w:rsidRDefault="007D4E95" w:rsidP="007D4E9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FD00867" w14:textId="1D6ED04D" w:rsidR="007D4E95" w:rsidRPr="007D4E95" w:rsidRDefault="007D4E95" w:rsidP="007D4E95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7D4E95">
        <w:rPr>
          <w:rFonts w:ascii="Garamond" w:hAnsi="Garamond"/>
          <w:bCs/>
          <w:sz w:val="20"/>
          <w:szCs w:val="20"/>
        </w:rPr>
        <w:t>Zamawiający w Zapytaniu ofertowym część B podpunkt g wymaga usługi odbioru przesyłek w godzinach 8:00-11:00. Wykonawca prosi o potwierdzenie, że Zamawiający ma na myśli przyjęcie do nadania przesyłek w siedzibie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wykonawcy, które zostaną dostarczone przez 5 Wojskowy Szpital Kliniczny z Polikliniką SPZOZ. Jeżeli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Zamawiający ma na myśli odbiór przesyłek przez wykonawcę z siedziby Zamawiającego, to konieczne jest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wskazanie tej usługi w formularzu cenowym, co umożliwi wycenę. Usługa odbioru przesyłek opłacana jest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miesięcznie w zależności od ilości odbiorów w tygodniu</w:t>
      </w:r>
      <w:r>
        <w:rPr>
          <w:rFonts w:ascii="Garamond" w:hAnsi="Garamond"/>
          <w:bCs/>
          <w:sz w:val="20"/>
          <w:szCs w:val="20"/>
        </w:rPr>
        <w:t>.</w:t>
      </w:r>
    </w:p>
    <w:p w14:paraId="11E73712" w14:textId="03894FC6" w:rsidR="007D4E95" w:rsidRP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r w:rsidR="00430B33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TAK</w:t>
      </w:r>
      <w:r w:rsidRPr="00F976C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07839EE0" w14:textId="7E3E6510" w:rsidR="007D4E95" w:rsidRDefault="007D4E95" w:rsidP="007D4E9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2951B204" w14:textId="199E3AE3" w:rsidR="007D4E95" w:rsidRPr="007D4E95" w:rsidRDefault="007D4E95" w:rsidP="007D4E95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7D4E95">
        <w:rPr>
          <w:rFonts w:ascii="Garamond" w:hAnsi="Garamond"/>
          <w:bCs/>
          <w:sz w:val="20"/>
          <w:szCs w:val="20"/>
        </w:rPr>
        <w:t>Zamawiający w Zapytaniu ofertowym część B pkt. 2g, wskazuje preferowane godziny odbioru przesyłek (8:00-11:00). Czy Zamawiający dopuszcza ustalenie dokładnych godziny odbioru przesyłek po wybraniu oferty i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wskazanie innych przedziałów godzinowych w uzgodnieniu z Zamawiającym? Odbiór przesyłek wymaga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podjęcia przez Wykonawcę działań dotyczących dostosowania logistyki świadczenia usługi. W wybranej lokalizacji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w związku z powyższym może istnieć konieczność zmiany zakresu godzinowego realizacji usługi. Ponadto usługa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odbioru poczty jest usługą płatną - abonamentową rozliczaną miesięcznie. W Formularzu cenowym Zamawiający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nie uwzględnił w/w usługi. Wykonawca zwraca się z prośbą o modyfikację formularza cenowego.</w:t>
      </w:r>
    </w:p>
    <w:p w14:paraId="4B79113B" w14:textId="5EAA953C" w:rsidR="007D4E95" w:rsidRP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r w:rsidR="00430B33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NIE</w:t>
      </w:r>
      <w:r w:rsidRPr="00F976C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3B25F541" w14:textId="58EF91CE" w:rsidR="007D4E95" w:rsidRDefault="007D4E95" w:rsidP="007D4E9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27E27BCB" w14:textId="2622BC42" w:rsidR="007D4E95" w:rsidRPr="007D4E95" w:rsidRDefault="007D4E95" w:rsidP="007D4E95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7D4E95">
        <w:rPr>
          <w:rFonts w:ascii="Garamond" w:hAnsi="Garamond"/>
          <w:bCs/>
          <w:sz w:val="20"/>
          <w:szCs w:val="20"/>
        </w:rPr>
        <w:t>Zamawiający w Zapytaniu ofertowym część B podpunkt k nie załączył wzoru potwierdzenia odbioru, jaki zamierza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stosować wobec przesyłek określonych w kosztorysie ofertowym. Stosowanie przez nadawców w obrocie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pocztowym różnorodnych formularzy potwierdzenia odbioru wpływa na obniżenie jakości świadczonych usług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pocztowych, a także na koszty związane z procesem ich opracowywania, dlatego też druki potwierdzenia odbioru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funkcjonujące w obrocie pocztowym muszą spełniać zarówno określone wymagania techniczne, jak również zapisy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na formularzu merytorycznie wynikać z obowiązujących przepisów prawa.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 xml:space="preserve">Zgodnie z § 13 ust. </w:t>
      </w:r>
      <w:r w:rsidRPr="007D4E95">
        <w:rPr>
          <w:rFonts w:ascii="Garamond" w:hAnsi="Garamond"/>
          <w:bCs/>
          <w:sz w:val="20"/>
          <w:szCs w:val="20"/>
        </w:rPr>
        <w:lastRenderedPageBreak/>
        <w:t>4 Regulaminu świadczenia usług powszechnych Poczta Polska dopuszcza do stosowania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przez klientów formularze własnego nakładu bez konieczności ich zatwierdzania, jeżeli ich wzory są umieszczone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na stronie www.poczta-polska.pl Regulamin jest dokumentem na podstawie którego są świadczone usługi dla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klientów.</w:t>
      </w:r>
    </w:p>
    <w:p w14:paraId="6BBA4105" w14:textId="018D5244" w:rsidR="007D4E95" w:rsidRPr="007D4E95" w:rsidRDefault="007D4E95" w:rsidP="007D4E95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7D4E95">
        <w:rPr>
          <w:rFonts w:ascii="Garamond" w:hAnsi="Garamond"/>
          <w:bCs/>
          <w:sz w:val="20"/>
          <w:szCs w:val="20"/>
        </w:rPr>
        <w:t>Ponieważ KPA nie ma aktów wykonawczych, a więc nie ma w obowiązujących aktach prawnych wzorów druków</w:t>
      </w:r>
      <w:r w:rsidR="007F288B"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potwierdzeń odbioru w postępowaniu administracyjnym, Poczta Polska przygotowała wzory takich potwierdzeń</w:t>
      </w:r>
      <w:r w:rsidR="007F288B"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odbioru, umieszczając na nich zapisy wynikające z KPA i zamieściła je na stronie www. Powołując się na ww.</w:t>
      </w:r>
      <w:r w:rsidR="007F288B"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zapis Regulaminu- jeżeli klient zastosuje do nadawanych przesyłek potwierdzenie odbioru zgodne z ww. wzorów</w:t>
      </w:r>
      <w:r w:rsidR="007F288B"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(w tym również zgodnie z wymogami technicznymi), jego zastosowanie nie wymaga zatwierdzenia przez Pocztę</w:t>
      </w:r>
      <w:r w:rsidR="007F288B"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Polską przed jego wprowadzeniem do obrotu pocztowego.</w:t>
      </w:r>
    </w:p>
    <w:p w14:paraId="635D3F7F" w14:textId="77777777" w:rsidR="007D4E95" w:rsidRPr="007D4E95" w:rsidRDefault="007D4E95" w:rsidP="007D4E95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7D4E95">
        <w:rPr>
          <w:rFonts w:ascii="Garamond" w:hAnsi="Garamond"/>
          <w:bCs/>
          <w:sz w:val="20"/>
          <w:szCs w:val="20"/>
        </w:rPr>
        <w:t>Aktualne wzory druków dostępne są stale na stronie Wykonawcy.</w:t>
      </w:r>
    </w:p>
    <w:p w14:paraId="799DEEB2" w14:textId="44032CA8" w:rsidR="007D4E95" w:rsidRPr="007D4E95" w:rsidRDefault="007D4E95" w:rsidP="007D4E95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7D4E95">
        <w:rPr>
          <w:rFonts w:ascii="Garamond" w:hAnsi="Garamond"/>
          <w:bCs/>
          <w:sz w:val="20"/>
          <w:szCs w:val="20"/>
        </w:rPr>
        <w:t>Czy Zamawiający wyraża zgodę na używanie wzorów druków zwrotnego potwierdzenia odbioru adekwatnych do</w:t>
      </w:r>
      <w:r w:rsidR="007F288B"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wybranego rodzaju postepowania zaproponowanych przez Wykonawcę? Aktualne wzory druków, które powinien</w:t>
      </w:r>
      <w:r w:rsidR="007F288B"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wykorzystywać Zamawiający dostępne są na stronie wykonawcy. Jeśli Zamawiający nie wyraża zgody,</w:t>
      </w:r>
    </w:p>
    <w:p w14:paraId="4264DFCD" w14:textId="48D5051E" w:rsidR="007D4E95" w:rsidRPr="007D4E95" w:rsidRDefault="007D4E95" w:rsidP="007D4E95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7D4E95">
        <w:rPr>
          <w:rFonts w:ascii="Garamond" w:hAnsi="Garamond"/>
          <w:bCs/>
          <w:sz w:val="20"/>
          <w:szCs w:val="20"/>
        </w:rPr>
        <w:t>Wykonawca prosi o przedstawienie wzorów druków, które Zamawiający planuje wykorzystywać.</w:t>
      </w:r>
    </w:p>
    <w:p w14:paraId="3A3E9681" w14:textId="1C3F6325" w:rsidR="007D4E95" w:rsidRP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r w:rsidR="00430B33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TAK</w:t>
      </w:r>
      <w:r w:rsidRPr="00F976C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0E20AF2E" w14:textId="5BF6A78E" w:rsidR="007D4E95" w:rsidRDefault="007D4E95" w:rsidP="007D4E9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15573632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bookmarkEnd w:id="2"/>
    <w:p w14:paraId="659A7386" w14:textId="4B6B95E4" w:rsidR="007D4E95" w:rsidRPr="007D4E95" w:rsidRDefault="007D4E95" w:rsidP="007D4E95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7D4E95">
        <w:rPr>
          <w:rFonts w:ascii="Garamond" w:hAnsi="Garamond"/>
          <w:bCs/>
          <w:sz w:val="20"/>
          <w:szCs w:val="20"/>
        </w:rPr>
        <w:t>Zamawiający w Zapytaniu ofertowym część B, pkt l określa procedurę doręczania oraz awizacji przesyłek.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Wykonawca prosi o potwierdzenie, że dotyczy ona przesyłek rejestrowanych krajowych. W przypadku przesyłek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zagranicznych procedura doręczenia i awizacji przesyłek może być uzależniona od przepisów kraju doręczenia i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odbiegać od określonej przez Zamawiającego</w:t>
      </w:r>
      <w:r>
        <w:rPr>
          <w:rFonts w:ascii="Garamond" w:hAnsi="Garamond"/>
          <w:bCs/>
          <w:sz w:val="20"/>
          <w:szCs w:val="20"/>
        </w:rPr>
        <w:t>.</w:t>
      </w:r>
    </w:p>
    <w:p w14:paraId="16ED22CC" w14:textId="33E20420" w:rsidR="007D4E95" w:rsidRDefault="007D4E95" w:rsidP="007D4E95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bookmarkStart w:id="3" w:name="_Hlk215573749"/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r w:rsidR="00430B33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TAK</w:t>
      </w:r>
      <w:r w:rsidRPr="00F976C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bookmarkEnd w:id="3"/>
    <w:p w14:paraId="2EEE9506" w14:textId="5A19E284" w:rsidR="007D4E95" w:rsidRDefault="007D4E95" w:rsidP="007D4E9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28ABCE4D" w14:textId="0AA6BF31" w:rsidR="007D4E95" w:rsidRPr="007D4E95" w:rsidRDefault="007D4E95" w:rsidP="007D4E95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7D4E95">
        <w:rPr>
          <w:rFonts w:ascii="Garamond" w:hAnsi="Garamond"/>
          <w:bCs/>
          <w:sz w:val="20"/>
          <w:szCs w:val="20"/>
        </w:rPr>
        <w:t>Zamawiający w zapytaniu określił niezbędne zapisy umowy, nie wskazując jednocześnie pełnego wzoru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dokumentu. Czy Zamawiający zgodzi się na zaakceptowanie wzoru umowy standardowo stosowanego przez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Wykonawcę? Jeśli nie, Wykonawca zwraca się z prośbą o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udostępnienie wzoru umowy, jaki Zamawiający chce</w:t>
      </w:r>
      <w:r>
        <w:rPr>
          <w:rFonts w:ascii="Garamond" w:hAnsi="Garamond"/>
          <w:bCs/>
          <w:sz w:val="20"/>
          <w:szCs w:val="20"/>
        </w:rPr>
        <w:t xml:space="preserve"> w</w:t>
      </w:r>
      <w:r w:rsidRPr="007D4E95">
        <w:rPr>
          <w:rFonts w:ascii="Garamond" w:hAnsi="Garamond"/>
          <w:bCs/>
          <w:sz w:val="20"/>
          <w:szCs w:val="20"/>
        </w:rPr>
        <w:t>ykorzystać</w:t>
      </w:r>
      <w:r>
        <w:rPr>
          <w:rFonts w:ascii="Garamond" w:hAnsi="Garamond"/>
          <w:bCs/>
          <w:sz w:val="20"/>
          <w:szCs w:val="20"/>
        </w:rPr>
        <w:t>.</w:t>
      </w:r>
    </w:p>
    <w:p w14:paraId="0671D1CE" w14:textId="61FEFF29" w:rsidR="007D4E95" w:rsidRPr="007D4E95" w:rsidRDefault="007D4E95" w:rsidP="007D4E95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r w:rsidR="00430B33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TAK</w:t>
      </w:r>
      <w:r w:rsidRPr="00F976C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11D7CAB1" w14:textId="4A343D16" w:rsidR="007D4E95" w:rsidRDefault="007D4E95" w:rsidP="007D4E9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7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0969F59A" w14:textId="6897BA48" w:rsidR="007D4E95" w:rsidRDefault="007D4E95" w:rsidP="007D4E95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7D4E95">
        <w:rPr>
          <w:rFonts w:ascii="Garamond" w:hAnsi="Garamond"/>
          <w:bCs/>
          <w:sz w:val="20"/>
          <w:szCs w:val="20"/>
        </w:rPr>
        <w:t>Zamawiający w załączniku nr 1 Szczegółowy opis przedmiotu zamówienia – Formularz cenowy wskazuje cenę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jednostkową brutto (w zł) za wysyłkę i zwrot, Wykonawca zwraca się z prośba o rozdzielnie cen jednostkowych za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nadanie przesyłek ze względu na konieczność prawidłowej wyceny usług. Ceny jednostkowe brutto za nadanie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oraz zwrot nie są tożsame w związku z powyższym zwracamy się o modyfikacje formularza i jednoznaczne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określnie cen oddzielne za nadanie oddzielnie za zwrot przesyłek prawidłowe uzupełnienie i wycenę formularza.</w:t>
      </w:r>
    </w:p>
    <w:p w14:paraId="608301DD" w14:textId="07E1D333" w:rsidR="007D4E95" w:rsidRPr="007D4E95" w:rsidRDefault="007D4E95" w:rsidP="007D4E95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r w:rsidR="00430B33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Zamawiający nie dopuszcza</w:t>
      </w:r>
      <w:r w:rsidRPr="00F976C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40FB9025" w14:textId="2AB228C7" w:rsidR="007D4E95" w:rsidRDefault="007D4E95" w:rsidP="007D4E9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8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2E76B764" w14:textId="04CE93B6" w:rsidR="007D4E95" w:rsidRDefault="007D4E95" w:rsidP="007D4E95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7D4E95">
        <w:rPr>
          <w:rFonts w:ascii="Garamond" w:hAnsi="Garamond"/>
          <w:bCs/>
          <w:sz w:val="20"/>
          <w:szCs w:val="20"/>
        </w:rPr>
        <w:t>Zamawiający w załączniku nr 1 Szczegółowy opis przedmiotu zamówienia – Formularz cenowy w części VII Zwrot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przesyłki w obrocie krajowym jak również w części X Zwrot przesyłek listowych w obrocie zagranicznym nie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określił o jaki rodzaj przesyłki Wykonawca ma wycenić proszę o wskazanie rodzaju przesyłki np. polecona., brak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D4E95">
        <w:rPr>
          <w:rFonts w:ascii="Garamond" w:hAnsi="Garamond"/>
          <w:bCs/>
          <w:sz w:val="20"/>
          <w:szCs w:val="20"/>
        </w:rPr>
        <w:t>wskazania uniemożliwia Wykonawcy wycenę formularza.</w:t>
      </w:r>
    </w:p>
    <w:p w14:paraId="5FF25AE3" w14:textId="36CA3DE3" w:rsidR="007D4E95" w:rsidRPr="007D4E95" w:rsidRDefault="007D4E95" w:rsidP="007D4E95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r w:rsidR="00430B33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Polecona i zwykła</w:t>
      </w:r>
      <w:r w:rsidRPr="00F976C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0FD3357C" w14:textId="424AB119" w:rsidR="007D4E95" w:rsidRDefault="007D4E95" w:rsidP="007D4E9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9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2E4D4B2B" w14:textId="76A8755B" w:rsidR="007D4E95" w:rsidRP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7D4E95">
        <w:rPr>
          <w:rFonts w:ascii="Garamond" w:hAnsi="Garamond" w:cs="Arial"/>
          <w:color w:val="000000"/>
          <w:sz w:val="20"/>
          <w:szCs w:val="20"/>
        </w:rPr>
        <w:t>„Wykonawca zwraca się z prośbą o potwierdzenie, że przesyłki listowe w obrocie krajowym</w:t>
      </w:r>
      <w:r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7D4E95">
        <w:rPr>
          <w:rFonts w:ascii="Garamond" w:hAnsi="Garamond" w:cs="Arial"/>
          <w:color w:val="000000"/>
          <w:sz w:val="20"/>
          <w:szCs w:val="20"/>
        </w:rPr>
        <w:t>przedmiotem zamówienia spełniają poniższe wymiary:</w:t>
      </w:r>
    </w:p>
    <w:p w14:paraId="66498570" w14:textId="77777777" w:rsidR="007D4E95" w:rsidRP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7D4E95">
        <w:rPr>
          <w:rFonts w:ascii="Garamond" w:hAnsi="Garamond" w:cs="Arial"/>
          <w:color w:val="000000"/>
          <w:sz w:val="20"/>
          <w:szCs w:val="20"/>
        </w:rPr>
        <w:t>Format S - to przesyłka listowa:</w:t>
      </w:r>
    </w:p>
    <w:p w14:paraId="2D910B35" w14:textId="77777777" w:rsidR="007D4E95" w:rsidRP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7D4E95">
        <w:rPr>
          <w:rFonts w:ascii="Garamond" w:hAnsi="Garamond" w:cs="Arial"/>
          <w:color w:val="000000"/>
          <w:sz w:val="20"/>
          <w:szCs w:val="20"/>
        </w:rPr>
        <w:t>• o masie do 500 g,</w:t>
      </w:r>
    </w:p>
    <w:p w14:paraId="3067AAD9" w14:textId="77777777" w:rsidR="007D4E95" w:rsidRP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7D4E95">
        <w:rPr>
          <w:rFonts w:ascii="Garamond" w:hAnsi="Garamond" w:cs="Arial"/>
          <w:color w:val="000000"/>
          <w:sz w:val="20"/>
          <w:szCs w:val="20"/>
        </w:rPr>
        <w:t>• o minimalnych wymiarach strony adresowej, które nie mogą być mniejsze niż 90 x 140 mm,</w:t>
      </w:r>
    </w:p>
    <w:p w14:paraId="14122253" w14:textId="77777777" w:rsidR="007D4E95" w:rsidRP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7D4E95">
        <w:rPr>
          <w:rFonts w:ascii="Garamond" w:hAnsi="Garamond" w:cs="Arial"/>
          <w:color w:val="000000"/>
          <w:sz w:val="20"/>
          <w:szCs w:val="20"/>
        </w:rPr>
        <w:t>• której maksymalne wymiary nie mogą przekroczyć: wysokość – 20 mm, długość – 230 mm,</w:t>
      </w:r>
    </w:p>
    <w:p w14:paraId="16BB7550" w14:textId="77777777" w:rsidR="007D4E95" w:rsidRP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7D4E95">
        <w:rPr>
          <w:rFonts w:ascii="Garamond" w:hAnsi="Garamond" w:cs="Arial"/>
          <w:color w:val="000000"/>
          <w:sz w:val="20"/>
          <w:szCs w:val="20"/>
        </w:rPr>
        <w:t>szerokość – 160 mm. Format M – to przesyłka listowa:</w:t>
      </w:r>
    </w:p>
    <w:p w14:paraId="30904984" w14:textId="77777777" w:rsidR="007D4E95" w:rsidRP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7D4E95">
        <w:rPr>
          <w:rFonts w:ascii="Garamond" w:hAnsi="Garamond" w:cs="Arial"/>
          <w:color w:val="000000"/>
          <w:sz w:val="20"/>
          <w:szCs w:val="20"/>
        </w:rPr>
        <w:lastRenderedPageBreak/>
        <w:t>• o masie do 1 000 g,</w:t>
      </w:r>
    </w:p>
    <w:p w14:paraId="2A61236C" w14:textId="77777777" w:rsidR="007D4E95" w:rsidRP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7D4E95">
        <w:rPr>
          <w:rFonts w:ascii="Garamond" w:hAnsi="Garamond" w:cs="Arial"/>
          <w:color w:val="000000"/>
          <w:sz w:val="20"/>
          <w:szCs w:val="20"/>
        </w:rPr>
        <w:t>• o minimalnych wymiarach strony adresowej, które nie mogą być mniejsze niż 90 x 140 mm,</w:t>
      </w:r>
    </w:p>
    <w:p w14:paraId="6B98B13C" w14:textId="77777777" w:rsidR="007D4E95" w:rsidRP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7D4E95">
        <w:rPr>
          <w:rFonts w:ascii="Garamond" w:hAnsi="Garamond" w:cs="Arial"/>
          <w:color w:val="000000"/>
          <w:sz w:val="20"/>
          <w:szCs w:val="20"/>
        </w:rPr>
        <w:t>• której maksymalne wymiary nie mogą przekroczyć: wysokość – 20 mm, długość – 325 mm,</w:t>
      </w:r>
    </w:p>
    <w:p w14:paraId="5BD4442E" w14:textId="77777777" w:rsidR="007D4E95" w:rsidRP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7D4E95">
        <w:rPr>
          <w:rFonts w:ascii="Garamond" w:hAnsi="Garamond" w:cs="Arial"/>
          <w:color w:val="000000"/>
          <w:sz w:val="20"/>
          <w:szCs w:val="20"/>
        </w:rPr>
        <w:t>szerokość – 230 mm.</w:t>
      </w:r>
    </w:p>
    <w:p w14:paraId="79487C70" w14:textId="77777777" w:rsidR="007D4E95" w:rsidRP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7D4E95">
        <w:rPr>
          <w:rFonts w:ascii="Garamond" w:hAnsi="Garamond" w:cs="Arial"/>
          <w:color w:val="000000"/>
          <w:sz w:val="20"/>
          <w:szCs w:val="20"/>
        </w:rPr>
        <w:t>Format L – to przesyłka listowa:</w:t>
      </w:r>
    </w:p>
    <w:p w14:paraId="6CDACBD2" w14:textId="77777777" w:rsidR="007D4E95" w:rsidRP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7D4E95">
        <w:rPr>
          <w:rFonts w:ascii="Garamond" w:hAnsi="Garamond" w:cs="Arial"/>
          <w:color w:val="000000"/>
          <w:sz w:val="20"/>
          <w:szCs w:val="20"/>
        </w:rPr>
        <w:t>• o masie do 2 000 g,</w:t>
      </w:r>
    </w:p>
    <w:p w14:paraId="20CA304D" w14:textId="77777777" w:rsidR="007D4E95" w:rsidRP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7D4E95">
        <w:rPr>
          <w:rFonts w:ascii="Garamond" w:hAnsi="Garamond" w:cs="Arial"/>
          <w:color w:val="000000"/>
          <w:sz w:val="20"/>
          <w:szCs w:val="20"/>
        </w:rPr>
        <w:t>• o minimalnych wymiarach strony adresowej, które nie mogą być mniejsze niż 90 x 140 mm,</w:t>
      </w:r>
    </w:p>
    <w:p w14:paraId="07ABBAF0" w14:textId="77777777" w:rsidR="007D4E95" w:rsidRP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7D4E95">
        <w:rPr>
          <w:rFonts w:ascii="Garamond" w:hAnsi="Garamond" w:cs="Arial"/>
          <w:color w:val="000000"/>
          <w:sz w:val="20"/>
          <w:szCs w:val="20"/>
        </w:rPr>
        <w:t>ST.RL.261.13.2025</w:t>
      </w:r>
    </w:p>
    <w:p w14:paraId="622F4F2B" w14:textId="77777777" w:rsidR="007D4E95" w:rsidRP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7D4E95">
        <w:rPr>
          <w:rFonts w:ascii="Garamond" w:hAnsi="Garamond" w:cs="Arial"/>
          <w:color w:val="000000"/>
          <w:sz w:val="20"/>
          <w:szCs w:val="20"/>
        </w:rPr>
        <w:t>• o maksymalnych wymiarach - gdzie suma długości, szerokości i wysokości przesyłki nie</w:t>
      </w:r>
    </w:p>
    <w:p w14:paraId="0AB96808" w14:textId="33DA8448" w:rsidR="007D4E95" w:rsidRPr="007D4E95" w:rsidRDefault="007D4E95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7D4E95">
        <w:rPr>
          <w:rFonts w:ascii="Garamond" w:hAnsi="Garamond" w:cs="Arial"/>
          <w:color w:val="000000"/>
          <w:sz w:val="20"/>
          <w:szCs w:val="20"/>
        </w:rPr>
        <w:t>może przekroczyć 900 mm, przy czym największy z wymiarów nie może przekroczyć 600 mm</w:t>
      </w:r>
      <w:r>
        <w:rPr>
          <w:rFonts w:ascii="Garamond" w:hAnsi="Garamond" w:cs="Arial"/>
          <w:color w:val="000000"/>
          <w:sz w:val="20"/>
          <w:szCs w:val="20"/>
        </w:rPr>
        <w:t>”.</w:t>
      </w:r>
    </w:p>
    <w:p w14:paraId="39142D43" w14:textId="79664663" w:rsidR="007D4E95" w:rsidRDefault="007D4E95" w:rsidP="007D4E95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r w:rsidR="00430B33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TAK</w:t>
      </w:r>
      <w:r w:rsidRPr="00F976C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33D3D9AF" w14:textId="77777777" w:rsidR="007F288B" w:rsidRDefault="007F288B" w:rsidP="007D4E95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</w:p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A39C4"/>
    <w:rsid w:val="003B4F0A"/>
    <w:rsid w:val="003D13CC"/>
    <w:rsid w:val="004118BD"/>
    <w:rsid w:val="00423BBB"/>
    <w:rsid w:val="00430B33"/>
    <w:rsid w:val="00433069"/>
    <w:rsid w:val="00442E59"/>
    <w:rsid w:val="00443584"/>
    <w:rsid w:val="00444CA8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5F121D"/>
    <w:rsid w:val="0060730C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7D4E95"/>
    <w:rsid w:val="007F288B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E012B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54EA2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3</Pages>
  <Words>1236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63</cp:revision>
  <cp:lastPrinted>2025-05-19T05:48:00Z</cp:lastPrinted>
  <dcterms:created xsi:type="dcterms:W3CDTF">2024-09-17T06:10:00Z</dcterms:created>
  <dcterms:modified xsi:type="dcterms:W3CDTF">2025-12-08T07:06:00Z</dcterms:modified>
</cp:coreProperties>
</file>