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A14759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A7889">
        <w:rPr>
          <w:rFonts w:ascii="Garamond" w:hAnsi="Garamond"/>
          <w:sz w:val="20"/>
          <w:szCs w:val="20"/>
        </w:rPr>
        <w:t>0</w:t>
      </w:r>
      <w:r w:rsidR="00127C69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FD991A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93C2B">
        <w:rPr>
          <w:rFonts w:ascii="Garamond" w:hAnsi="Garamond"/>
          <w:b/>
          <w:sz w:val="20"/>
          <w:szCs w:val="20"/>
        </w:rPr>
        <w:t>63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26C2DA0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93C2B" w:rsidRPr="00193C2B">
        <w:rPr>
          <w:rFonts w:ascii="Garamond" w:hAnsi="Garamond"/>
          <w:b/>
          <w:bCs/>
          <w:sz w:val="20"/>
          <w:szCs w:val="20"/>
        </w:rPr>
        <w:t>WYPOSAŻENIE KWATERUNKOWE – ELEKTRONICZNY DEPOZYTOR KLUCZY Z PANELEM STERUJĄCYM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3412240"/>
      <w:bookmarkStart w:id="1" w:name="_Hlk220301779"/>
      <w:bookmarkStart w:id="2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7638A1DE" w14:textId="77777777" w:rsidR="00305EA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Pojemność depozytora – 32 klucze</w:t>
      </w:r>
    </w:p>
    <w:p w14:paraId="1F2BD44F" w14:textId="62CD3A0B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Zamawiający wymaga: „RKD32 – elektroniczny depozytor kluczy z panelem sterującym lub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równoważny na 32 klucze”.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o modyfikację zapisu poprzez nadanie mu brzmienia: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„Elektroniczny depozytor kluczy z panelem sterującym na minimum 32 klucze.”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Wskazanie sztywnej liczby 32 kluczy w praktyce eliminuje rozwiązania o większej pojemności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(np. 36 kluczy), mimo że nie wpływa to negatywnie na funkcjonalność systemu. Większa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liczba gniazd zwiększa elastyczność eksploatacyjną i możliwość rozbudowy bez generowania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dodatkowych kosztów w przyszłości. Brak dopuszczenia takiego rozwiązania jest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nieuzasadniony technicznie.</w:t>
      </w:r>
    </w:p>
    <w:p w14:paraId="693A3AEE" w14:textId="1368AE28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modyfikuje zapisy - "</w:t>
      </w:r>
      <w:bookmarkStart w:id="3" w:name="_Hlk223412857"/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Elektroniczny depozytor kluczy z panelem sterującym na minimum 32 klucze.</w:t>
      </w:r>
      <w:bookmarkEnd w:id="3"/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"</w:t>
      </w:r>
    </w:p>
    <w:p w14:paraId="661E0D67" w14:textId="37EE6971" w:rsidR="00193C2B" w:rsidRPr="00305EAB" w:rsidRDefault="00193C2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223412344"/>
      <w:r w:rsidRPr="00305EAB">
        <w:rPr>
          <w:rFonts w:ascii="Garamond" w:hAnsi="Garamond"/>
          <w:b/>
          <w:sz w:val="20"/>
          <w:szCs w:val="20"/>
          <w:u w:val="single"/>
        </w:rPr>
        <w:t>Pytanie 2:</w:t>
      </w:r>
    </w:p>
    <w:bookmarkEnd w:id="4"/>
    <w:p w14:paraId="40D701B1" w14:textId="77777777" w:rsidR="00305EA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Zamawiający wskazuje obsługę kart: MIFARE </w:t>
      </w:r>
      <w:proofErr w:type="spellStart"/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Ultralight</w:t>
      </w:r>
      <w:proofErr w:type="spellEnd"/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Classic, </w:t>
      </w:r>
      <w:proofErr w:type="spellStart"/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Desfire</w:t>
      </w:r>
      <w:proofErr w:type="spellEnd"/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EV1 i Plus.</w:t>
      </w:r>
    </w:p>
    <w:p w14:paraId="15D3405B" w14:textId="6390B0AE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o zmianę zapisu poprzez jednoznaczne określenie, iż wymagany czytnik ma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obsługiwać co najmniej standardy MIFARE (13,56 MHz) oraz UNIQUE (125 kHz), czyli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technologie powszechnie stosowane w systemach kontroli dostępu.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Proponowane brzmienie: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„Depozytor powinien być wyposażony w czytnik kart zbliżeniowych obsługujący standard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MIFARE (13,56 MHz) oraz UNIQUE (125 kHz) lub rozwiązanie równoważne, umożliwiające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integrację z różnymi systemami kontroli dostępu.”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Ograniczenie wyłącznie do wskazanych typów kart MIFARE bez dopuszczenia drugiego,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szeroko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stosowanego standardu 125 kHz (UNIQUE) w praktyce zawęża krąg możliwych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rozwiązań i nie znajduje uzasadnienia funkcjonalnego.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Brak dopuszczenia czytnika obsługującego oba standardy może skutkować koniecznością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wymiany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urządzenia w przypadku zmiany lub rozbudowy systemu KD, co jest rozwiązaniem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nieracjonalnym i generującym zbędne koszty.</w:t>
      </w:r>
    </w:p>
    <w:p w14:paraId="406618EB" w14:textId="0C0A64C1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modyfikuje zapisy - Depozytor powinien być wyposażony w czytnik kart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zbliżeniowych obsługujący standard MIFARE (13,56 MHz) oraz UNIQUE (125 kHz) lub rozwiązanie równoważne, umożliwiające integrację z posiadanym systemem kontroli dostępu ze względu na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standaryzację systemu oraz globalne zarządzanie kontrolą dostępu na poziomie organizacji.</w:t>
      </w:r>
    </w:p>
    <w:p w14:paraId="0500F3BB" w14:textId="70AC2306" w:rsidR="00193C2B" w:rsidRPr="00305EAB" w:rsidRDefault="00193C2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223412386"/>
      <w:r w:rsidRPr="00305EAB">
        <w:rPr>
          <w:rFonts w:ascii="Garamond" w:hAnsi="Garamond"/>
          <w:b/>
          <w:sz w:val="20"/>
          <w:szCs w:val="20"/>
          <w:u w:val="single"/>
        </w:rPr>
        <w:t>Pytanie 3:</w:t>
      </w:r>
    </w:p>
    <w:bookmarkEnd w:id="5"/>
    <w:p w14:paraId="62940500" w14:textId="77777777" w:rsidR="00305EA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Kolor obudowy – RAL7016</w:t>
      </w:r>
    </w:p>
    <w:p w14:paraId="7445A18E" w14:textId="0E4AB1CF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Zamawiający wymaga koloru czarnego, wskazując jednocześnie RAL7016.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RAL7016 jest kolorem antracytowym, a nie czarnym.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o jednoznaczne doprecyzowanie zapisu oraz dopuszczenie innego koloru z palety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RAL o zbliżonej estetyce. Kolor obudowy nie ma wpływu na parametry techniczne ani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funkcjonalność systemu, dlatego jego nadmierne uszczegółowienie bez uzasadnienia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technicznego ogranicza możliwość zaoferowania rozwiązań równoważnych.</w:t>
      </w:r>
    </w:p>
    <w:p w14:paraId="2E53C491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142B782" w14:textId="572BCB29" w:rsidR="00193C2B" w:rsidRPr="00305EA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dopuszcza obydwa rozwiązania.</w:t>
      </w:r>
    </w:p>
    <w:p w14:paraId="0220B7A4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5991F84" w14:textId="4DD01622" w:rsidR="00193C2B" w:rsidRPr="00193C2B" w:rsidRDefault="00193C2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4F1907BD" w14:textId="77777777" w:rsidR="00305EA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Wymóg licencji RKD32-AW-LIC oraz wskazanie modeli RKD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Zamawiający wymaga licencji RKD32-AW-LIC oraz wskazuje współpracę z urządzeniami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RKD32/RKD32EXT/RKD24CT/RKD24CT-EXT.</w:t>
      </w:r>
    </w:p>
    <w:p w14:paraId="5E5AACBF" w14:textId="44D589EC" w:rsidR="00193C2B" w:rsidRPr="00193C2B" w:rsidRDefault="00193C2B" w:rsidP="00A606B7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o usunięcie powyższych oznaczeń handlowych i zastąpienie ich opisem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funkcjonalnym, tj.: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„Oprogramowanie webowe umożliwiające zarządzanie depozytorem z poziomu przeglądarki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internetowej.”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Obecny zapis jednoznacznie wskazuje na konkretnego producenta systemu depozytorów</w:t>
      </w:r>
      <w:r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kluczy oraz jego oprogramowanie, co w sposób oczywisty ogranicza konkurencję.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również o dopuszczenie rozwiązań: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– posiadających własne oprogramowanie,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– umożliwiających integrację z istniejącą bazą danych systemu KD,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– umożliwiających korzystanie z funkcjonujących już kart pracowniczych,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– niewymagających dodatkowych licencji ani opłat abonamentowych.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Brak takiego dopuszczenia prowadzi do nieuzasadnionego uprzywilejowania jednego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dostawcy i wyklucza rozwiązania bardziej elastyczne oraz ekonomicznie korzystniejsze.</w:t>
      </w:r>
    </w:p>
    <w:p w14:paraId="7AD3A90B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9B55AEB" w14:textId="7ED4E810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Zamawiający nie wyraża zgody na modyfikację zapisów. Ze względu na standaryzację oraz posiadaną w jednostce infrastrukturę kontroli dostępu, celem Zamawiającego jest </w:t>
      </w:r>
      <w:r w:rsidR="00305EAB"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zastosowanie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spójnego rozwiązania z możliwością globalnego zarządzania dostępem z jednego miejsca.</w:t>
      </w:r>
    </w:p>
    <w:p w14:paraId="3D6DDC89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AB254A7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05E8A16" w14:textId="5502233A" w:rsidR="00193C2B" w:rsidRPr="00193C2B" w:rsidRDefault="00305EA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3ECC75F2" w14:textId="77777777" w:rsidR="00305EA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Zwiększony stopień ochrony</w:t>
      </w:r>
    </w:p>
    <w:p w14:paraId="45E412B5" w14:textId="5E2EA713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 związku z określeniem stopnia ochrony IP dla urządzenia wnosimy o doprecyzowanie, czy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Zamawiający wymaga również określonego stopnia ochrony dla elementów mocowanych do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kluczy (breloki/bolce), np. IP66/IP67.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 przypadku braku takiego wymogu wymagania dotyczące IP dla obudowy depozytora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pozostają niespójne i nie znajdują pełnego uzasadnienia technicznego. Wnosimy o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doprecyzowanie zapisów poprzez wskazanie wymaganego stopnia ochrony dla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bolców/breloków IP66/67 lub rezygnację z nadmiernie zawężających parametrów.</w:t>
      </w:r>
    </w:p>
    <w:p w14:paraId="1C1DD22C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F4D7563" w14:textId="63B99160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="00305EAB"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rezygnuje zapisu.</w:t>
      </w:r>
    </w:p>
    <w:p w14:paraId="799D106F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8274400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62D6D41" w14:textId="52E72685" w:rsidR="00193C2B" w:rsidRPr="00193C2B" w:rsidRDefault="00305EA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>Pytanie 6:</w:t>
      </w:r>
    </w:p>
    <w:p w14:paraId="1A08C9B3" w14:textId="77777777" w:rsidR="00305EA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Funkcjonalność zwiększająca bezpieczeństwo</w:t>
      </w:r>
    </w:p>
    <w:p w14:paraId="37C5248A" w14:textId="5ACD88DF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Czy w celu zwiększenia poziomu bezpieczeństwa użytkowników oraz możliwości rejestracji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zdarzeń sabotażowych Zamawiający przewiduje wymóg, aby depozytor posiadał wbudowaną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kamerę rejestrującą osobę pobierającą klucz lub otoczenie urządzenia?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Wnosimy o jednoznaczne określenie, czy funkcjonalność ta jest wymagana, dopuszczalna czy</w:t>
      </w: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  <w:t>nieprzewidziana w ramach niniejszego postępowania.</w:t>
      </w:r>
    </w:p>
    <w:p w14:paraId="21179861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969C5BC" w14:textId="039B1F8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="00305EAB" w:rsidRPr="00305E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dopuszcza możliwość zastosowania kamery zintegrowanej z depozytorem lub zewnętrznej kamery zainstalowanej w niedalekiej odległości od depozytora i monitorującą przestrzeń oraz urządzenie.</w:t>
      </w:r>
    </w:p>
    <w:p w14:paraId="39D37246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7DC6935" w14:textId="77777777" w:rsidR="005B1E22" w:rsidRPr="00305EAB" w:rsidRDefault="005B1E22" w:rsidP="0030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1"/>
    <w:bookmarkEnd w:id="2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27C69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DE7908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90</cp:revision>
  <cp:lastPrinted>2025-05-19T05:48:00Z</cp:lastPrinted>
  <dcterms:created xsi:type="dcterms:W3CDTF">2024-09-17T06:10:00Z</dcterms:created>
  <dcterms:modified xsi:type="dcterms:W3CDTF">2026-03-04T12:12:00Z</dcterms:modified>
</cp:coreProperties>
</file>